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691E5C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691E5C">
        <w:rPr>
          <w:rFonts w:ascii="Sylfaen" w:hAnsi="Sylfaen"/>
          <w:b/>
          <w:sz w:val="28"/>
          <w:lang w:val="ka-GE"/>
        </w:rPr>
        <w:t>მთავრობის</w:t>
      </w:r>
      <w:r w:rsidR="005A44F5" w:rsidRPr="00691E5C">
        <w:rPr>
          <w:rFonts w:ascii="Sylfaen" w:hAnsi="Sylfaen"/>
          <w:b/>
          <w:sz w:val="28"/>
          <w:lang w:val="ka-GE"/>
        </w:rPr>
        <w:t xml:space="preserve"> ვალი</w:t>
      </w:r>
    </w:p>
    <w:p w:rsidR="0021748E" w:rsidRPr="00691E5C" w:rsidRDefault="00CC46C4" w:rsidP="0021748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91E5C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21748E" w:rsidRPr="00691E5C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21748E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21748E" w:rsidRPr="00691E5C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21748E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21748E" w:rsidRPr="00691E5C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21748E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2021 წლის 30</w:t>
      </w:r>
      <w:r w:rsidR="0021748E"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1748E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სექტემბრის მდგომარეობით შეადგენს </w:t>
      </w:r>
      <w:r w:rsidR="0021748E" w:rsidRPr="00691E5C">
        <w:rPr>
          <w:rFonts w:ascii="Sylfaen" w:hAnsi="Sylfaen" w:cs="Sylfaen"/>
          <w:szCs w:val="21"/>
          <w:shd w:val="clear" w:color="auto" w:fill="FFFFFF"/>
        </w:rPr>
        <w:t>29 326</w:t>
      </w:r>
      <w:r w:rsidR="0021748E" w:rsidRPr="00691E5C">
        <w:rPr>
          <w:rFonts w:ascii="Sylfaen" w:hAnsi="Sylfaen" w:cs="Sylfaen"/>
          <w:szCs w:val="21"/>
          <w:shd w:val="clear" w:color="auto" w:fill="FFFFFF"/>
          <w:lang w:val="ka-GE"/>
        </w:rPr>
        <w:t>.0 მლნ ლარს.</w:t>
      </w:r>
    </w:p>
    <w:p w:rsidR="0021748E" w:rsidRPr="00691E5C" w:rsidRDefault="0021748E" w:rsidP="0021748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Pr="00691E5C">
        <w:rPr>
          <w:rFonts w:ascii="Sylfaen" w:hAnsi="Sylfaen"/>
          <w:szCs w:val="21"/>
          <w:shd w:val="clear" w:color="auto" w:fill="FFFFFF"/>
        </w:rPr>
        <w:t>28 891.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8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-38.8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- 395.4 მლნ ლარს.</w:t>
      </w:r>
    </w:p>
    <w:p w:rsidR="0021748E" w:rsidRPr="00691E5C" w:rsidRDefault="0021748E" w:rsidP="0021748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21748E" w:rsidRPr="00691E5C" w:rsidRDefault="0021748E" w:rsidP="0021748E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691E5C" w:rsidRDefault="0021748E" w:rsidP="0021748E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2021 წლის </w:t>
      </w:r>
      <w:r w:rsidRPr="00691E5C">
        <w:rPr>
          <w:rFonts w:ascii="Sylfaen" w:hAnsi="Sylfaen"/>
          <w:szCs w:val="21"/>
          <w:shd w:val="clear" w:color="auto" w:fill="FFFFFF"/>
        </w:rPr>
        <w:t xml:space="preserve">30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სექტემბრის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FB01F8" w:rsidRPr="00691E5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DB657D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EC7AD0" w:rsidRPr="00691E5C">
        <w:rPr>
          <w:rFonts w:ascii="Sylfaen" w:hAnsi="Sylfaen"/>
          <w:szCs w:val="21"/>
          <w:shd w:val="clear" w:color="auto" w:fill="FFFFFF"/>
          <w:lang w:val="ka-GE"/>
        </w:rPr>
        <w:t>23</w:t>
      </w:r>
      <w:r w:rsidR="008739E5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EC7AD0" w:rsidRPr="00691E5C">
        <w:rPr>
          <w:rFonts w:ascii="Sylfaen" w:hAnsi="Sylfaen"/>
          <w:szCs w:val="21"/>
          <w:shd w:val="clear" w:color="auto" w:fill="FFFFFF"/>
          <w:lang w:val="ka-GE"/>
        </w:rPr>
        <w:t>423.5</w:t>
      </w:r>
      <w:r w:rsidR="00421440" w:rsidRPr="00691E5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691E5C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691E5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1E1573" w:rsidRPr="00691E5C">
        <w:rPr>
          <w:rFonts w:ascii="Sylfaen" w:hAnsi="Sylfaen"/>
          <w:szCs w:val="21"/>
          <w:shd w:val="clear" w:color="auto" w:fill="FFFFFF"/>
          <w:lang w:val="ka-GE"/>
        </w:rPr>
        <w:t>81</w:t>
      </w:r>
      <w:r w:rsidR="006F4202" w:rsidRPr="00691E5C">
        <w:rPr>
          <w:rFonts w:ascii="Sylfaen" w:hAnsi="Sylfaen"/>
          <w:szCs w:val="21"/>
          <w:shd w:val="clear" w:color="auto" w:fill="FFFFFF"/>
        </w:rPr>
        <w:t>%-</w:t>
      </w:r>
      <w:r w:rsidR="006F4202" w:rsidRPr="00691E5C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691E5C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691E5C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691E5C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 w:rsidRPr="00691E5C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691E5C">
        <w:rPr>
          <w:rFonts w:ascii="Sylfaen" w:hAnsi="Sylfaen"/>
          <w:szCs w:val="21"/>
          <w:shd w:val="clear" w:color="auto" w:fill="FFFFFF"/>
          <w:lang w:val="ka-GE"/>
        </w:rPr>
        <w:t>.</w:t>
      </w:r>
      <w:r w:rsidR="00EC7AD0" w:rsidRPr="00691E5C">
        <w:rPr>
          <w:rFonts w:ascii="Sylfaen" w:hAnsi="Sylfaen"/>
          <w:szCs w:val="21"/>
          <w:shd w:val="clear" w:color="auto" w:fill="FFFFFF"/>
          <w:lang w:val="ka-GE"/>
        </w:rPr>
        <w:t>8</w:t>
      </w:r>
      <w:r w:rsidR="00C126E1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91E5C">
        <w:rPr>
          <w:rFonts w:ascii="Sylfaen" w:hAnsi="Sylfaen"/>
          <w:szCs w:val="21"/>
          <w:shd w:val="clear" w:color="auto" w:fill="FFFFFF"/>
        </w:rPr>
        <w:t>წელს</w:t>
      </w:r>
      <w:r w:rsidR="006F4202" w:rsidRPr="00691E5C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691E5C">
        <w:rPr>
          <w:rFonts w:ascii="Sylfaen" w:hAnsi="Sylfaen"/>
          <w:szCs w:val="21"/>
          <w:shd w:val="clear" w:color="auto" w:fill="FFFFFF"/>
        </w:rPr>
        <w:t xml:space="preserve"> </w:t>
      </w:r>
      <w:r w:rsidR="001E1573" w:rsidRPr="00691E5C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F2321" w:rsidRPr="00691E5C">
        <w:rPr>
          <w:rFonts w:ascii="Sylfaen" w:hAnsi="Sylfaen"/>
          <w:szCs w:val="21"/>
          <w:shd w:val="clear" w:color="auto" w:fill="FFFFFF"/>
        </w:rPr>
        <w:t>.</w:t>
      </w:r>
      <w:r w:rsidR="001E1573" w:rsidRPr="00691E5C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691E5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1E1573" w:rsidRPr="00691E5C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691E5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C7AD0" w:rsidRPr="00691E5C">
        <w:rPr>
          <w:rFonts w:ascii="Sylfaen" w:hAnsi="Sylfaen" w:cs="Sylfaen"/>
          <w:szCs w:val="21"/>
          <w:shd w:val="clear" w:color="auto" w:fill="FFFFFF"/>
          <w:lang w:val="ka-GE"/>
        </w:rPr>
        <w:t>97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691E5C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691E5C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42B2A" wp14:editId="7F18D374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748E" w:rsidRPr="00A33B48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21748E" w:rsidRPr="001E1573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97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21748E" w:rsidRPr="00A33B48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21748E" w:rsidRPr="00DE4001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7685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21748E" w:rsidRPr="00A33B48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21748E" w:rsidRPr="001E1573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97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21748E" w:rsidRPr="00A33B48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21748E" w:rsidRPr="00DE4001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7685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691E5C">
        <w:rPr>
          <w:rFonts w:ascii="Sylfaen" w:hAnsi="Sylfaen"/>
          <w:noProof/>
        </w:rPr>
        <w:drawing>
          <wp:anchor distT="0" distB="0" distL="114300" distR="114300" simplePos="0" relativeHeight="251663360" behindDoc="0" locked="0" layoutInCell="1" allowOverlap="1" wp14:anchorId="27A09B2D" wp14:editId="576DCA6A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691E5C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691E5C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1E1573" w:rsidRPr="00691E5C">
        <w:rPr>
          <w:rFonts w:ascii="Sylfaen" w:hAnsi="Sylfaen"/>
          <w:b/>
          <w:szCs w:val="18"/>
          <w:shd w:val="clear" w:color="auto" w:fill="FFFFFF"/>
          <w:lang w:val="ka-GE"/>
        </w:rPr>
        <w:t>1</w:t>
      </w:r>
      <w:r w:rsidR="008D1F2B" w:rsidRPr="00691E5C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EC7AD0"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30 სექტემბრის </w:t>
      </w:r>
      <w:r w:rsidR="006F4202"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B57E95" w:rsidRPr="00691E5C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A93CD1" w:rsidRPr="00691E5C" w:rsidRDefault="009363B9" w:rsidP="0021748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691E5C">
        <w:rPr>
          <w:rFonts w:ascii="Sylfaen" w:hAnsi="Sylfaen" w:cs="Sylfaen"/>
          <w:szCs w:val="21"/>
          <w:shd w:val="clear" w:color="auto" w:fill="FFFFFF"/>
        </w:rPr>
        <w:t>2</w:t>
      </w:r>
      <w:r w:rsidR="00C76853" w:rsidRPr="00691E5C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C7AD0" w:rsidRPr="00691E5C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EC7AD0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სექტემბრის </w:t>
      </w:r>
      <w:r w:rsidR="009A7187" w:rsidRPr="00691E5C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691E5C">
        <w:rPr>
          <w:rFonts w:ascii="Sylfaen" w:hAnsi="Sylfaen" w:cs="Sylfaen"/>
          <w:szCs w:val="21"/>
          <w:shd w:val="clear" w:color="auto" w:fill="FFFFFF"/>
        </w:rPr>
        <w:t>5</w:t>
      </w:r>
      <w:r w:rsidR="00EC7AD0" w:rsidRPr="00691E5C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691E5C">
        <w:rPr>
          <w:rFonts w:ascii="Sylfaen" w:hAnsi="Sylfaen" w:cs="Sylfaen"/>
          <w:szCs w:val="21"/>
          <w:shd w:val="clear" w:color="auto" w:fill="FFFFFF"/>
        </w:rPr>
        <w:t>2</w:t>
      </w:r>
      <w:r w:rsidR="00EC7AD0" w:rsidRPr="00691E5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691E5C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21748E" w:rsidRPr="00691E5C" w:rsidRDefault="0021748E" w:rsidP="0021748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/>
        </w:rPr>
      </w:pPr>
    </w:p>
    <w:p w:rsidR="00A93CD1" w:rsidRPr="00691E5C" w:rsidRDefault="0073687D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 w:rsidRPr="00691E5C">
        <w:rPr>
          <w:rFonts w:ascii="Sylfaen" w:hAnsi="Sylfaen"/>
          <w:noProof/>
        </w:rPr>
        <w:drawing>
          <wp:anchor distT="0" distB="0" distL="114300" distR="114300" simplePos="0" relativeHeight="251664384" behindDoc="1" locked="0" layoutInCell="1" allowOverlap="1" wp14:anchorId="0797E63E" wp14:editId="69689C7B">
            <wp:simplePos x="0" y="0"/>
            <wp:positionH relativeFrom="column">
              <wp:posOffset>4218305</wp:posOffset>
            </wp:positionH>
            <wp:positionV relativeFrom="paragraph">
              <wp:posOffset>5080</wp:posOffset>
            </wp:positionV>
            <wp:extent cx="1813214" cy="1472047"/>
            <wp:effectExtent l="0" t="0" r="0" b="0"/>
            <wp:wrapTight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C5A55" w:rsidRPr="00691E5C">
        <w:rPr>
          <w:rFonts w:ascii="Sylfaen" w:hAnsi="Sylfaen"/>
          <w:noProof/>
        </w:rPr>
        <w:drawing>
          <wp:anchor distT="0" distB="0" distL="114300" distR="114300" simplePos="0" relativeHeight="251665408" behindDoc="1" locked="0" layoutInCell="1" allowOverlap="1" wp14:anchorId="0761DFD4" wp14:editId="50D48250">
            <wp:simplePos x="0" y="0"/>
            <wp:positionH relativeFrom="column">
              <wp:posOffset>1028700</wp:posOffset>
            </wp:positionH>
            <wp:positionV relativeFrom="paragraph">
              <wp:posOffset>5080</wp:posOffset>
            </wp:positionV>
            <wp:extent cx="2228850" cy="1419225"/>
            <wp:effectExtent l="0" t="0" r="0" b="0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2C4" w:rsidRPr="00691E5C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691E5C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691E5C">
        <w:rPr>
          <w:rFonts w:ascii="Sylfaen" w:hAnsi="Sylfaen"/>
          <w:b/>
          <w:lang w:val="ka-GE"/>
        </w:rPr>
        <w:br w:type="page"/>
      </w:r>
    </w:p>
    <w:p w:rsidR="00071D1D" w:rsidRPr="00691E5C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691E5C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691E5C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691E5C">
        <w:rPr>
          <w:rFonts w:ascii="Sylfaen" w:hAnsi="Sylfaen"/>
          <w:b/>
          <w:lang w:val="ka-GE"/>
        </w:rPr>
        <w:t>20</w:t>
      </w:r>
      <w:r w:rsidR="00B71865" w:rsidRPr="00691E5C">
        <w:rPr>
          <w:rFonts w:ascii="Sylfaen" w:hAnsi="Sylfaen"/>
          <w:b/>
        </w:rPr>
        <w:t>2</w:t>
      </w:r>
      <w:r w:rsidR="00C76853" w:rsidRPr="00691E5C">
        <w:rPr>
          <w:rFonts w:ascii="Sylfaen" w:hAnsi="Sylfaen"/>
          <w:b/>
          <w:lang w:val="ka-GE"/>
        </w:rPr>
        <w:t>1</w:t>
      </w:r>
      <w:r w:rsidR="00E46C45" w:rsidRPr="00691E5C">
        <w:rPr>
          <w:rFonts w:ascii="Sylfaen" w:hAnsi="Sylfaen"/>
          <w:b/>
          <w:lang w:val="ka-GE"/>
        </w:rPr>
        <w:t xml:space="preserve"> წლის </w:t>
      </w:r>
      <w:r w:rsidR="00EC7AD0"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>30 სექტემბრის</w:t>
      </w:r>
      <w:r w:rsidR="00E46C45" w:rsidRPr="00691E5C">
        <w:rPr>
          <w:rFonts w:ascii="Sylfaen" w:hAnsi="Sylfaen"/>
          <w:b/>
          <w:lang w:val="ka-GE"/>
        </w:rPr>
        <w:t xml:space="preserve"> </w:t>
      </w:r>
      <w:r w:rsidR="00071D1D" w:rsidRPr="00691E5C">
        <w:rPr>
          <w:rFonts w:ascii="Sylfaen" w:hAnsi="Sylfaen"/>
          <w:b/>
          <w:lang w:val="ka-GE"/>
        </w:rPr>
        <w:t>მდგომარეობით</w:t>
      </w:r>
    </w:p>
    <w:p w:rsidR="002E358C" w:rsidRPr="00691E5C" w:rsidRDefault="002E358C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962"/>
        <w:gridCol w:w="1223"/>
        <w:gridCol w:w="1179"/>
        <w:gridCol w:w="1312"/>
        <w:gridCol w:w="1127"/>
        <w:gridCol w:w="1095"/>
      </w:tblGrid>
      <w:tr w:rsidR="002A37ED" w:rsidRPr="00691E5C" w:rsidTr="00691E5C">
        <w:trPr>
          <w:trHeight w:hRule="exact" w:val="791"/>
          <w:tblHeader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 xml:space="preserve">კრედიტორი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 xml:space="preserve"> კრედიტის ვალუტა 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ნაშთი ათასი     აშშ დოლარი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ნაშთი ათასი   ლარი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საპროცენტო განაკვეთი</w:t>
            </w:r>
          </w:p>
        </w:tc>
        <w:tc>
          <w:tcPr>
            <w:tcW w:w="561" w:type="pct"/>
            <w:shd w:val="clear" w:color="000000" w:fill="FFFFFF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4"/>
                <w:szCs w:val="14"/>
              </w:rPr>
            </w:pPr>
            <w:r w:rsidRPr="00691E5C">
              <w:rPr>
                <w:rFonts w:ascii="Sylfaen" w:hAnsi="Sylfaen" w:cstheme="minorHAnsi"/>
                <w:b/>
                <w:bCs/>
                <w:sz w:val="14"/>
                <w:szCs w:val="14"/>
              </w:rPr>
              <w:t>საპროცენტო განაკვეთი მოცემული თარიღისათვის</w:t>
            </w:r>
          </w:p>
        </w:tc>
        <w:tc>
          <w:tcPr>
            <w:tcW w:w="545" w:type="pct"/>
            <w:shd w:val="clear" w:color="000000" w:fill="FFFFFF"/>
            <w:vAlign w:val="bottom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შეწონილი საპროცენტო განაკვეთი</w:t>
            </w:r>
          </w:p>
        </w:tc>
      </w:tr>
      <w:tr w:rsidR="002A37ED" w:rsidRPr="00691E5C" w:rsidTr="00691E5C">
        <w:trPr>
          <w:trHeight w:hRule="exact" w:val="349"/>
          <w:jc w:val="center"/>
        </w:trPr>
        <w:tc>
          <w:tcPr>
            <w:tcW w:w="2045" w:type="pct"/>
            <w:gridSpan w:val="2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b/>
                <w:bCs/>
                <w:i/>
                <w:i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i/>
                <w:iCs/>
                <w:sz w:val="16"/>
                <w:szCs w:val="16"/>
              </w:rPr>
              <w:t>მთავრობის საგარეო ვალი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i/>
                <w:i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i/>
                <w:iCs/>
                <w:sz w:val="16"/>
                <w:szCs w:val="16"/>
              </w:rPr>
              <w:t>7,500,802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i/>
                <w:i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i/>
                <w:iCs/>
                <w:sz w:val="16"/>
                <w:szCs w:val="16"/>
              </w:rPr>
              <w:t>23,423,505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2A37ED" w:rsidRPr="00691E5C" w:rsidTr="00691E5C">
        <w:trPr>
          <w:trHeight w:hRule="exact" w:val="341"/>
          <w:jc w:val="center"/>
        </w:trPr>
        <w:tc>
          <w:tcPr>
            <w:tcW w:w="2045" w:type="pct"/>
            <w:gridSpan w:val="2"/>
            <w:shd w:val="clear" w:color="auto" w:fill="EEECE1" w:themeFill="background2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მრავალმხრივი კრედიტორები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5,444,602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17,002,403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განვითარების საერთაშორისო ასოციაცია(WB - IDA)</w:t>
            </w:r>
          </w:p>
        </w:tc>
        <w:tc>
          <w:tcPr>
            <w:tcW w:w="479" w:type="pct"/>
            <w:vMerge w:val="restar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604,188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1,886,760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0.060%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235,398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735,102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0.063%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8,690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27,138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2.15%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განვითარების საერთაშორისო ასოციაცია(WB - IBRD)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104,932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327,681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1.39%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261</w:t>
            </w:r>
          </w:p>
        </w:tc>
        <w:tc>
          <w:tcPr>
            <w:tcW w:w="653" w:type="pct"/>
            <w:vMerge w:val="restar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Euribor+VS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121,049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378,012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0.51%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0.008%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91,198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284,793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1,599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0.83%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154,623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482,857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Libor+VS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0.48%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40,996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128,022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0.68%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316,323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987,814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0.88%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0.037%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26,671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83,289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52,473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163,862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0.94%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8,422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26,300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0.95%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64,323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200,867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1.10%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77,267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241,289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1.18%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6,795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21,220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1.24%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120,000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374,736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1.25%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0.020%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17,332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54,125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10,911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34,072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3,463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10,814.35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(SDR Libor + IBRD VS)/2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6,105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19,064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Euribor+VS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1.02%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439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საერთაშორისო სავალუტო ფონდი (IMF EFF,MOF)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207,104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646,745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SDR Rate of Charge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1.05%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0.029%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 xml:space="preserve">ევროგაერთიანება </w:t>
            </w:r>
            <w:r w:rsidRPr="00691E5C">
              <w:rPr>
                <w:rFonts w:ascii="Sylfaen" w:hAnsi="Sylfaen" w:cstheme="minorHAns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110,761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345,886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0.13%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11,659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36,409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0.52%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15,157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47,332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1.16%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17,489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54,614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1.25%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448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ევროპის რეკონსტრუქციის და განვითარების ბანკი (EBRD)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236,567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738,750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Euribor+ 1%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0.029%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აზიის განვითარების ბანკი (ADB)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58,121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181,499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0.008%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300,139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937,275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0.060%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28,749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89,776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1.60%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212,707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664,242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0.057%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107,616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336,062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82,733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258,358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0.32%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199,164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621,949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0.38%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18,760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58,585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Euribor+FS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174,018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543,423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0.005%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99,251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309,942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49,453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154,432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0.63%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1,762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0.67%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33,333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104,093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Libor+FS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0.50%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65,540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204,667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0.56%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0.005%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41,667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130,117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0.66%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11,333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35,392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66,346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207,184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0.77%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48,512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151,495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0.86%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73,834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230,568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0.88%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60,302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188,311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აზიის ინფრასტრუქტურის განვითარების ბანკი (AIIB)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43,801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136,783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Libor+VS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1.59%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52,466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163,841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Euribor+VS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94,318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294,535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0.46%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ევროსაბჭოს განვითარების ბანკი (CEB)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2,088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6,520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0.39%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1,051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3,282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Euribor+VS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ევროპის საინვესტიციო ბანკი(EIB)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99,102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309,477</w:t>
            </w:r>
          </w:p>
        </w:tc>
        <w:tc>
          <w:tcPr>
            <w:tcW w:w="653" w:type="pct"/>
            <w:vMerge w:val="restar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0.33%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33,228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103,766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0.49%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75,784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236,659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0.57%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4,270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13,335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33,055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103,225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0.86%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59,461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185,686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0.008%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11,659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36,409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1.65%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24,371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76,107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1.69%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23,318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72,818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1.94%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358,517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1,119,577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Euribor+FS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60,921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190,244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11,881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37,101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10,290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32,134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0.30%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36,695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114,592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0.31%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3,498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10,923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0.34%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466"/>
          <w:jc w:val="center"/>
        </w:trPr>
        <w:tc>
          <w:tcPr>
            <w:tcW w:w="1566" w:type="pct"/>
            <w:shd w:val="clear" w:color="auto" w:fill="auto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2,191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6,843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Euribor+VS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auto" w:fill="EEECE1" w:themeFill="background2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ორმხრივი კრედიტორები</w:t>
            </w:r>
          </w:p>
        </w:tc>
        <w:tc>
          <w:tcPr>
            <w:tcW w:w="479" w:type="pct"/>
            <w:shd w:val="clear" w:color="auto" w:fill="EEECE1" w:themeFill="background2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1,554,656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4,854,880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ავსტრია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17,551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54,809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აზერბაიჯანი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4,400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13,740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თურქმენეთი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659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თურქეთი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8,529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26,634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3.13%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ირანი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3,265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10,196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რუსეთი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31,570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98,586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სომხეთი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4,210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13,146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უზბეკეთი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82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უკრაინა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ყაზახეთი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5,374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16,781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 xml:space="preserve"> ჩინეთი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CNY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1,449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გერმანია (KfW)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4,392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13,715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Euribor+ 0.3%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127,084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396,858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Euribor+ 0.72%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104,932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327,681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0.009%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119,888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374,386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209,864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655,362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0.85%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0.024%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31,513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98,409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48,081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150,146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21,378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66,759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11,158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34,843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20,403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63,716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5.70%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0.016%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7,421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23,174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6.68%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0.007%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იაპონია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JPY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25,461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79,509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129,383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404,039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950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2,966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1.30%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25,301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79,011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1.40%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0.005%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15,165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47,356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2.30%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0.005%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კუვეიტი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KWD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3,551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11,088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6,168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19,262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ნიდერლანდები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313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128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400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5.10%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აშშ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120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6,256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19,535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3,057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9,548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0.001%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5,360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16,738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საფრანგეთი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13,758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42,963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0.17%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221,523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691,771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0.42%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0.012%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20,731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64,738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1.10%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10,611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33,137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1.27%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0.002%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16,693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52,128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1.41%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250,670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782,794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 + 0.6%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0.008%</w:t>
            </w: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18,015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56,257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Euribor + 1.05%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1.05%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0.003%</w:t>
            </w:r>
          </w:p>
        </w:tc>
      </w:tr>
      <w:tr w:rsidR="002A37ED" w:rsidRPr="00691E5C" w:rsidTr="00691E5C">
        <w:trPr>
          <w:trHeight w:hRule="exact" w:val="296"/>
          <w:jc w:val="center"/>
        </w:trPr>
        <w:tc>
          <w:tcPr>
            <w:tcW w:w="1566" w:type="pct"/>
            <w:shd w:val="clear" w:color="auto" w:fill="EEECE1" w:themeFill="background2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ფასიანი ქაღალდები</w:t>
            </w:r>
          </w:p>
        </w:tc>
        <w:tc>
          <w:tcPr>
            <w:tcW w:w="479" w:type="pct"/>
            <w:shd w:val="clear" w:color="auto" w:fill="EEECE1" w:themeFill="background2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1,561,400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691E5C" w:rsidTr="00691E5C">
        <w:trPr>
          <w:trHeight w:hRule="exact" w:val="269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ევრობონდი 2021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500,000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1,561,400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2.750%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0.183%</w:t>
            </w:r>
          </w:p>
        </w:tc>
      </w:tr>
      <w:tr w:rsidR="002A37ED" w:rsidRPr="00691E5C" w:rsidTr="00691E5C">
        <w:trPr>
          <w:trHeight w:hRule="exact" w:val="269"/>
          <w:jc w:val="center"/>
        </w:trPr>
        <w:tc>
          <w:tcPr>
            <w:tcW w:w="1566" w:type="pct"/>
            <w:shd w:val="clear" w:color="auto" w:fill="EEECE1" w:themeFill="background2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გარანტირებული კრედიტები</w:t>
            </w:r>
          </w:p>
        </w:tc>
        <w:tc>
          <w:tcPr>
            <w:tcW w:w="479" w:type="pct"/>
            <w:shd w:val="clear" w:color="auto" w:fill="EEECE1" w:themeFill="background2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1,544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sz w:val="16"/>
                <w:szCs w:val="16"/>
              </w:rPr>
              <w:t>4,821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691E5C" w:rsidTr="00691E5C">
        <w:trPr>
          <w:trHeight w:hRule="exact" w:val="230"/>
          <w:jc w:val="center"/>
        </w:trPr>
        <w:tc>
          <w:tcPr>
            <w:tcW w:w="1566" w:type="pct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გერმანია (KfW)</w:t>
            </w:r>
          </w:p>
        </w:tc>
        <w:tc>
          <w:tcPr>
            <w:tcW w:w="479" w:type="pct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1,544</w:t>
            </w:r>
          </w:p>
        </w:tc>
        <w:tc>
          <w:tcPr>
            <w:tcW w:w="587" w:type="pct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4,821</w:t>
            </w:r>
          </w:p>
        </w:tc>
        <w:tc>
          <w:tcPr>
            <w:tcW w:w="653" w:type="pct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0.000%</w:t>
            </w:r>
          </w:p>
        </w:tc>
      </w:tr>
      <w:tr w:rsidR="002A37ED" w:rsidRPr="00691E5C" w:rsidTr="00691E5C">
        <w:trPr>
          <w:trHeight w:hRule="exact" w:val="304"/>
          <w:jc w:val="center"/>
        </w:trPr>
        <w:tc>
          <w:tcPr>
            <w:tcW w:w="20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7ED" w:rsidRPr="00691E5C" w:rsidRDefault="002A37ED" w:rsidP="002A37ED">
            <w:pPr>
              <w:rPr>
                <w:rFonts w:ascii="Sylfaen" w:hAnsi="Sylfaen" w:cstheme="minorHAnsi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sz w:val="16"/>
                <w:szCs w:val="16"/>
              </w:rPr>
              <w:t> 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color w:val="1F497D" w:themeColor="text2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color w:val="1F497D" w:themeColor="text2"/>
                <w:sz w:val="16"/>
                <w:szCs w:val="16"/>
              </w:rPr>
              <w:t>საშუალო შეწონილი საპროცენტო განაკვეთი</w:t>
            </w:r>
          </w:p>
        </w:tc>
        <w:tc>
          <w:tcPr>
            <w:tcW w:w="545" w:type="pct"/>
            <w:tcBorders>
              <w:lef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2A37ED" w:rsidRPr="00691E5C" w:rsidRDefault="002A37ED" w:rsidP="002A37ED">
            <w:pPr>
              <w:jc w:val="center"/>
              <w:rPr>
                <w:rFonts w:ascii="Sylfaen" w:hAnsi="Sylfaen" w:cstheme="minorHAnsi"/>
                <w:b/>
                <w:bCs/>
                <w:color w:val="1F497D" w:themeColor="text2"/>
                <w:sz w:val="16"/>
                <w:szCs w:val="16"/>
              </w:rPr>
            </w:pPr>
            <w:r w:rsidRPr="00691E5C">
              <w:rPr>
                <w:rFonts w:ascii="Sylfaen" w:hAnsi="Sylfaen" w:cstheme="minorHAnsi"/>
                <w:b/>
                <w:bCs/>
                <w:color w:val="1F497D" w:themeColor="text2"/>
                <w:sz w:val="16"/>
                <w:szCs w:val="16"/>
              </w:rPr>
              <w:t>0.97%</w:t>
            </w:r>
          </w:p>
        </w:tc>
      </w:tr>
    </w:tbl>
    <w:p w:rsidR="009139F2" w:rsidRPr="00691E5C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405DB" w:rsidRPr="00691E5C" w:rsidRDefault="000A05E4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691E5C">
        <w:rPr>
          <w:sz w:val="22"/>
          <w:szCs w:val="22"/>
          <w:shd w:val="clear" w:color="auto" w:fill="FFFFFF"/>
          <w:lang w:val="ka-GE"/>
        </w:rPr>
        <w:lastRenderedPageBreak/>
        <w:t>202</w:t>
      </w:r>
      <w:r w:rsidR="009333B0" w:rsidRPr="00691E5C">
        <w:rPr>
          <w:sz w:val="22"/>
          <w:szCs w:val="22"/>
          <w:shd w:val="clear" w:color="auto" w:fill="FFFFFF"/>
        </w:rPr>
        <w:t>1</w:t>
      </w:r>
      <w:r w:rsidRPr="00691E5C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</w:t>
      </w:r>
      <w:bookmarkStart w:id="0" w:name="_GoBack"/>
      <w:r w:rsidR="00754C45" w:rsidRPr="00691E5C">
        <w:rPr>
          <w:sz w:val="22"/>
          <w:szCs w:val="22"/>
          <w:shd w:val="clear" w:color="auto" w:fill="FFFFFF"/>
          <w:lang w:val="ka-GE"/>
        </w:rPr>
        <w:t>ცვლილებ</w:t>
      </w:r>
      <w:bookmarkEnd w:id="0"/>
      <w:r w:rsidR="00754C45" w:rsidRPr="00691E5C">
        <w:rPr>
          <w:sz w:val="22"/>
          <w:szCs w:val="22"/>
          <w:shd w:val="clear" w:color="auto" w:fill="FFFFFF"/>
          <w:lang w:val="ka-GE"/>
        </w:rPr>
        <w:t xml:space="preserve">ის </w:t>
      </w:r>
      <w:r w:rsidRPr="00691E5C">
        <w:rPr>
          <w:sz w:val="22"/>
          <w:szCs w:val="22"/>
          <w:shd w:val="clear" w:color="auto" w:fill="FFFFFF"/>
          <w:lang w:val="ka-GE"/>
        </w:rPr>
        <w:t xml:space="preserve">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</w:t>
      </w:r>
      <w:r w:rsidR="005211E4" w:rsidRPr="00691E5C">
        <w:rPr>
          <w:sz w:val="22"/>
          <w:szCs w:val="22"/>
          <w:shd w:val="clear" w:color="auto" w:fill="FFFFFF"/>
        </w:rPr>
        <w:t>376</w:t>
      </w:r>
      <w:r w:rsidR="009333B0" w:rsidRPr="00691E5C">
        <w:rPr>
          <w:sz w:val="22"/>
          <w:szCs w:val="22"/>
          <w:shd w:val="clear" w:color="auto" w:fill="FFFFFF"/>
        </w:rPr>
        <w:t xml:space="preserve"> </w:t>
      </w:r>
      <w:r w:rsidR="005211E4" w:rsidRPr="00691E5C">
        <w:rPr>
          <w:sz w:val="22"/>
          <w:szCs w:val="22"/>
          <w:shd w:val="clear" w:color="auto" w:fill="FFFFFF"/>
        </w:rPr>
        <w:t>9</w:t>
      </w:r>
      <w:r w:rsidR="004572FA" w:rsidRPr="00691E5C">
        <w:rPr>
          <w:sz w:val="22"/>
          <w:szCs w:val="22"/>
          <w:shd w:val="clear" w:color="auto" w:fill="FFFFFF"/>
        </w:rPr>
        <w:t>30</w:t>
      </w:r>
      <w:r w:rsidRPr="00691E5C">
        <w:rPr>
          <w:sz w:val="22"/>
          <w:szCs w:val="22"/>
          <w:shd w:val="clear" w:color="auto" w:fill="FFFFFF"/>
          <w:lang w:val="ka-GE"/>
        </w:rPr>
        <w:t>.</w:t>
      </w:r>
      <w:r w:rsidR="009333B0" w:rsidRPr="00691E5C">
        <w:rPr>
          <w:sz w:val="22"/>
          <w:szCs w:val="22"/>
          <w:shd w:val="clear" w:color="auto" w:fill="FFFFFF"/>
        </w:rPr>
        <w:t>0</w:t>
      </w:r>
      <w:r w:rsidRPr="00691E5C">
        <w:rPr>
          <w:sz w:val="22"/>
          <w:szCs w:val="22"/>
          <w:shd w:val="clear" w:color="auto" w:fill="FFFFFF"/>
          <w:lang w:val="ka-GE"/>
        </w:rPr>
        <w:t xml:space="preserve"> ათასი ლარის ოდენობით</w:t>
      </w:r>
      <w:r w:rsidR="004F1431" w:rsidRPr="00691E5C">
        <w:rPr>
          <w:sz w:val="22"/>
          <w:szCs w:val="22"/>
          <w:shd w:val="clear" w:color="auto" w:fill="FFFFFF"/>
          <w:lang w:val="ka-GE"/>
        </w:rPr>
        <w:t>,</w:t>
      </w:r>
      <w:r w:rsidRPr="00691E5C">
        <w:rPr>
          <w:sz w:val="22"/>
          <w:szCs w:val="22"/>
          <w:shd w:val="clear" w:color="auto" w:fill="FFFFFF"/>
          <w:lang w:val="ka-GE"/>
        </w:rPr>
        <w:t xml:space="preserve"> </w:t>
      </w:r>
      <w:r w:rsidR="004F1431" w:rsidRPr="00691E5C">
        <w:rPr>
          <w:rFonts w:eastAsia="Sylfaen"/>
          <w:sz w:val="22"/>
          <w:szCs w:val="22"/>
          <w:lang w:val="ka-GE"/>
        </w:rPr>
        <w:t xml:space="preserve">1 713 150.0 ათასი ლარით 2021 წლის ევრობონდის რეფინანსირებას. </w:t>
      </w:r>
      <w:r w:rsidR="002A0BB1" w:rsidRPr="00691E5C">
        <w:rPr>
          <w:sz w:val="22"/>
          <w:szCs w:val="22"/>
          <w:shd w:val="clear" w:color="auto" w:fill="FFFFFF"/>
          <w:lang w:val="ka-GE"/>
        </w:rPr>
        <w:t xml:space="preserve">ასევე, </w:t>
      </w:r>
      <w:r w:rsidRPr="00691E5C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691E5C">
        <w:rPr>
          <w:sz w:val="22"/>
          <w:szCs w:val="22"/>
          <w:shd w:val="clear" w:color="auto" w:fill="FFFFFF"/>
        </w:rPr>
        <w:t xml:space="preserve"> </w:t>
      </w:r>
      <w:r w:rsidR="00A405DB" w:rsidRPr="00691E5C">
        <w:rPr>
          <w:sz w:val="22"/>
          <w:szCs w:val="22"/>
          <w:shd w:val="clear" w:color="auto" w:fill="FFFFFF"/>
          <w:lang w:val="ka-GE"/>
        </w:rPr>
        <w:t>თანხების მობილიზებას</w:t>
      </w:r>
      <w:r w:rsidR="002A0BB1" w:rsidRPr="00691E5C">
        <w:rPr>
          <w:sz w:val="22"/>
          <w:szCs w:val="22"/>
          <w:shd w:val="clear" w:color="auto" w:fill="FFFFFF"/>
          <w:lang w:val="ka-GE"/>
        </w:rPr>
        <w:t xml:space="preserve"> 2 </w:t>
      </w:r>
      <w:r w:rsidR="005211E4" w:rsidRPr="00691E5C">
        <w:rPr>
          <w:sz w:val="22"/>
          <w:szCs w:val="22"/>
          <w:shd w:val="clear" w:color="auto" w:fill="FFFFFF"/>
        </w:rPr>
        <w:t>200</w:t>
      </w:r>
      <w:r w:rsidR="002A0BB1" w:rsidRPr="00691E5C">
        <w:rPr>
          <w:sz w:val="22"/>
          <w:szCs w:val="22"/>
          <w:shd w:val="clear" w:color="auto" w:fill="FFFFFF"/>
          <w:lang w:val="ka-GE"/>
        </w:rPr>
        <w:t xml:space="preserve"> 000.0 </w:t>
      </w:r>
      <w:r w:rsidR="00C24A78" w:rsidRPr="00691E5C">
        <w:rPr>
          <w:sz w:val="22"/>
          <w:szCs w:val="22"/>
          <w:shd w:val="clear" w:color="auto" w:fill="FFFFFF"/>
          <w:lang w:val="ka-GE"/>
        </w:rPr>
        <w:t>ლარის ოდენობით</w:t>
      </w:r>
      <w:r w:rsidR="00A405DB" w:rsidRPr="00691E5C">
        <w:rPr>
          <w:sz w:val="22"/>
          <w:szCs w:val="22"/>
          <w:shd w:val="clear" w:color="auto" w:fill="FFFFFF"/>
          <w:lang w:val="ka-GE"/>
        </w:rPr>
        <w:t>:</w:t>
      </w:r>
    </w:p>
    <w:p w:rsidR="005211E4" w:rsidRPr="00691E5C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>საქართველოში ენერგეტიკის სექტორის რეფორმის პროგრამის (IV)  ფარგლებში საფრანგეთის განვითარების სააგენტოდან (AFD) მისაღები სახსრები – 533 000.0 ათასი ლარის ოდენობით;</w:t>
      </w:r>
    </w:p>
    <w:p w:rsidR="005211E4" w:rsidRPr="00691E5C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>თანამედროვე უნარები უკეთესი დასაქმების სექტორის განვითარების პროგრამისთვის -  ქვეპროგრამა 1</w:t>
      </w:r>
      <w:r w:rsidRPr="00691E5C">
        <w:rPr>
          <w:rFonts w:ascii="Sylfaen" w:eastAsia="Sylfaen" w:hAnsi="Sylfaen" w:cs="Sylfaen"/>
          <w:color w:val="000000"/>
          <w:sz w:val="22"/>
          <w:szCs w:val="22"/>
        </w:rPr>
        <w:t>-</w:t>
      </w: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ის ფარგლებში აზიის განვითარების ბანკიდან (ADB) მისაღები სახსრები - 168 000.0  ათასი ლარის ოდენობით;</w:t>
      </w:r>
    </w:p>
    <w:p w:rsidR="005211E4" w:rsidRPr="00691E5C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       285 000.00  ათასი ლარის ოდენობით;</w:t>
      </w:r>
    </w:p>
    <w:p w:rsidR="005211E4" w:rsidRPr="00691E5C" w:rsidRDefault="005211E4" w:rsidP="005211E4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- 682  000.00  ათასი ლარის ოდენობით;   </w:t>
      </w:r>
    </w:p>
    <w:p w:rsidR="005211E4" w:rsidRPr="00691E5C" w:rsidRDefault="005211E4" w:rsidP="005211E4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>COVID-19 პანდემიის კონტექსტში სოციალური უსაფრთხოების პროგრამის ფარგლებში გერმანიის რეკონსტრუქციის საკრედიტო ბანკიდან (KfW) მისაღები სახსრები – 57 000.0 ათასი ლარის ოდენობით;</w:t>
      </w:r>
    </w:p>
    <w:p w:rsidR="00071A46" w:rsidRPr="00691E5C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>ელექტროენერგიის გადაცემის სექტორის რეფორმის პროგრამის (სსე-ს კორპორატიზაცია) ფარგლებში  აზიის განვითარების ბანკიდან (ADB) მისაღები სახსრები -    310  000.00  ათასი ლარის ოდენობით;</w:t>
      </w:r>
      <w:r w:rsidR="00071A46"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 </w:t>
      </w:r>
    </w:p>
    <w:p w:rsidR="005211E4" w:rsidRPr="00691E5C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>COVID-19-ის წინააღმდეგ სწრაფი რეაგირების პროგრამის ფარგლებში აზიის ინფრასტრუქტურის საინვესტიციო ბანკიდან (AIIB) მისაღები სახსრები  - 85 000.0 ათასი ლარი;</w:t>
      </w:r>
    </w:p>
    <w:p w:rsidR="00071A46" w:rsidRPr="00691E5C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691E5C">
        <w:rPr>
          <w:rFonts w:ascii="Sylfaen" w:eastAsia="Sylfaen" w:hAnsi="Sylfaen" w:cs="Sylfaen"/>
          <w:color w:val="000000"/>
          <w:sz w:val="22"/>
          <w:szCs w:val="22"/>
          <w:lang w:val="ka-GE"/>
        </w:rPr>
        <w:t>COVID-19-ის წინააღმდეგ სწრაფი რეაგირების პროგრამის ფარგლებში მსოფლიო ბანკიდან (WB) მისაღები სახსრები  - 80 000.0 ათასი ლარი;</w:t>
      </w:r>
    </w:p>
    <w:p w:rsidR="002D596E" w:rsidRPr="00691E5C" w:rsidRDefault="002D596E" w:rsidP="002D596E">
      <w:pPr>
        <w:pStyle w:val="ListParagraph"/>
        <w:rPr>
          <w:rFonts w:ascii="Sylfaen" w:eastAsia="Sylfaen" w:hAnsi="Sylfaen" w:cs="Sylfaen"/>
          <w:color w:val="000000"/>
          <w:lang w:val="ka-GE"/>
        </w:rPr>
      </w:pPr>
    </w:p>
    <w:p w:rsidR="00C0485E" w:rsidRPr="00691E5C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9333B0" w:rsidRPr="00691E5C">
        <w:rPr>
          <w:rFonts w:ascii="Sylfaen" w:hAnsi="Sylfaen" w:cs="Sylfaen"/>
          <w:szCs w:val="21"/>
          <w:shd w:val="clear" w:color="auto" w:fill="FFFFFF"/>
        </w:rPr>
        <w:t>1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</w:t>
      </w:r>
      <w:r w:rsidR="00754C45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ცვლილების 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პროექტით გათვალისწინებულია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61691" w:rsidRPr="00691E5C">
        <w:rPr>
          <w:rFonts w:ascii="Sylfaen" w:hAnsi="Sylfaen" w:cs="Sylfaen"/>
          <w:szCs w:val="21"/>
          <w:shd w:val="clear" w:color="auto" w:fill="FFFFFF"/>
        </w:rPr>
        <w:t>2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61691" w:rsidRPr="00691E5C">
        <w:rPr>
          <w:rFonts w:ascii="Sylfaen" w:hAnsi="Sylfaen" w:cs="Sylfaen"/>
          <w:szCs w:val="21"/>
          <w:shd w:val="clear" w:color="auto" w:fill="FFFFFF"/>
        </w:rPr>
        <w:t>963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691E5C">
        <w:rPr>
          <w:rFonts w:ascii="Sylfaen" w:hAnsi="Sylfaen" w:cs="Sylfaen"/>
          <w:szCs w:val="21"/>
          <w:shd w:val="clear" w:color="auto" w:fill="FFFFFF"/>
        </w:rPr>
        <w:t>0</w:t>
      </w:r>
      <w:r w:rsidRPr="00691E5C">
        <w:rPr>
          <w:rFonts w:ascii="Sylfaen" w:hAnsi="Sylfaen" w:cs="Sylfaen"/>
          <w:szCs w:val="21"/>
          <w:shd w:val="clear" w:color="auto" w:fill="FFFFFF"/>
        </w:rPr>
        <w:t>00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9333B0" w:rsidRPr="00691E5C">
        <w:rPr>
          <w:rFonts w:ascii="Sylfaen" w:hAnsi="Sylfaen" w:cs="Sylfaen"/>
          <w:szCs w:val="21"/>
          <w:shd w:val="clear" w:color="auto" w:fill="FFFFFF"/>
        </w:rPr>
        <w:t xml:space="preserve">2 </w:t>
      </w:r>
      <w:r w:rsidR="000F487B" w:rsidRPr="00691E5C">
        <w:rPr>
          <w:rFonts w:ascii="Sylfaen" w:hAnsi="Sylfaen" w:cs="Sylfaen"/>
          <w:szCs w:val="21"/>
          <w:shd w:val="clear" w:color="auto" w:fill="FFFFFF"/>
        </w:rPr>
        <w:t>6</w:t>
      </w:r>
      <w:r w:rsidR="00061691" w:rsidRPr="00691E5C">
        <w:rPr>
          <w:rFonts w:ascii="Sylfaen" w:hAnsi="Sylfaen" w:cs="Sylfaen"/>
          <w:szCs w:val="21"/>
          <w:shd w:val="clear" w:color="auto" w:fill="FFFFFF"/>
        </w:rPr>
        <w:t>75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691E5C">
        <w:rPr>
          <w:rFonts w:ascii="Sylfaen" w:hAnsi="Sylfaen" w:cs="Sylfaen"/>
          <w:szCs w:val="21"/>
          <w:shd w:val="clear" w:color="auto" w:fill="FFFFFF"/>
        </w:rPr>
        <w:t>0</w:t>
      </w:r>
      <w:r w:rsidRPr="00691E5C">
        <w:rPr>
          <w:rFonts w:ascii="Sylfaen" w:hAnsi="Sylfaen" w:cs="Sylfaen"/>
          <w:szCs w:val="21"/>
          <w:shd w:val="clear" w:color="auto" w:fill="FFFFFF"/>
        </w:rPr>
        <w:t>00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061691" w:rsidRPr="00691E5C">
        <w:rPr>
          <w:rFonts w:ascii="Sylfaen" w:hAnsi="Sylfaen" w:cs="Sylfaen"/>
          <w:szCs w:val="21"/>
          <w:shd w:val="clear" w:color="auto" w:fill="FFFFFF"/>
        </w:rPr>
        <w:t>28</w:t>
      </w:r>
      <w:r w:rsidR="000F487B" w:rsidRPr="00691E5C">
        <w:rPr>
          <w:rFonts w:ascii="Sylfaen" w:hAnsi="Sylfaen" w:cs="Sylfaen"/>
          <w:szCs w:val="21"/>
          <w:shd w:val="clear" w:color="auto" w:fill="FFFFFF"/>
        </w:rPr>
        <w:t>8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691E5C">
        <w:rPr>
          <w:rFonts w:ascii="Sylfaen" w:hAnsi="Sylfaen" w:cs="Sylfaen"/>
          <w:szCs w:val="21"/>
          <w:shd w:val="clear" w:color="auto" w:fill="FFFFFF"/>
        </w:rPr>
        <w:t>0</w:t>
      </w:r>
      <w:r w:rsidRPr="00691E5C">
        <w:rPr>
          <w:rFonts w:ascii="Sylfaen" w:hAnsi="Sylfaen" w:cs="Sylfaen"/>
          <w:szCs w:val="21"/>
          <w:shd w:val="clear" w:color="auto" w:fill="FFFFFF"/>
        </w:rPr>
        <w:t>00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A67E3A" w:rsidRPr="00691E5C" w:rsidRDefault="00A67E3A" w:rsidP="00C0485E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691E5C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691E5C">
        <w:rPr>
          <w:rFonts w:ascii="Sylfaen" w:hAnsi="Sylfaen"/>
          <w:b/>
          <w:sz w:val="20"/>
          <w:szCs w:val="20"/>
          <w:lang w:val="ka-GE"/>
        </w:rPr>
        <w:t>202</w:t>
      </w:r>
      <w:r w:rsidR="006D20E2" w:rsidRPr="00691E5C">
        <w:rPr>
          <w:rFonts w:ascii="Sylfaen" w:hAnsi="Sylfaen"/>
          <w:b/>
          <w:sz w:val="20"/>
          <w:szCs w:val="20"/>
        </w:rPr>
        <w:t xml:space="preserve">1 </w:t>
      </w:r>
      <w:r w:rsidRPr="00691E5C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EC7AD0" w:rsidRPr="00691E5C" w:rsidRDefault="00EC7AD0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</w:p>
    <w:p w:rsidR="00FB01F8" w:rsidRPr="00691E5C" w:rsidRDefault="00EC7AD0" w:rsidP="00061691">
      <w:pPr>
        <w:tabs>
          <w:tab w:val="left" w:pos="0"/>
        </w:tabs>
        <w:spacing w:after="0" w:line="240" w:lineRule="auto"/>
        <w:ind w:right="783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691E5C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</w:t>
      </w:r>
      <w:r w:rsidR="00FB01F8" w:rsidRPr="00691E5C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3061"/>
        <w:gridCol w:w="2328"/>
        <w:gridCol w:w="2222"/>
        <w:gridCol w:w="2432"/>
      </w:tblGrid>
      <w:tr w:rsidR="00F27538" w:rsidRPr="00691E5C" w:rsidTr="00691E5C">
        <w:trPr>
          <w:trHeight w:val="113"/>
          <w:tblHeader/>
          <w:jc w:val="center"/>
        </w:trPr>
        <w:tc>
          <w:tcPr>
            <w:tcW w:w="1524" w:type="pct"/>
            <w:shd w:val="clear" w:color="auto" w:fill="auto"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ვალების დაფარვა</w:t>
            </w:r>
          </w:p>
        </w:tc>
        <w:tc>
          <w:tcPr>
            <w:tcW w:w="1106" w:type="pct"/>
            <w:shd w:val="clear" w:color="auto" w:fill="auto"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2021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2,675,000.0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 288,000.0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      2,963,000.0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4,300.0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580.0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4,880.0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2,830.0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850.0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3,680.0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25,210.0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5,300.0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30,510.0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90,160.0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27,100.0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117,260.0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აშშ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7,500.0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1,090.0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8,590.0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5,730.0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490.0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6,220.0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4,180.0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500.0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4,680.0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3,400.0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370.0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3,770.0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13,520.0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6,410.0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19,930.0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870.0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50.0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920.0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37,880.0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5,000.0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42,880.0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7,910.0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1,100.0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9,010.0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150.0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3.0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153.0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4.0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164.0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66,340.0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11,900.0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78,240.0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1,290.0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1,290.0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241,880.0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34,000.0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275,880.0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42,480.0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38,800.0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81,280.0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IFAD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5,660.0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1,400.0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7,060.0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62,960.0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11,900.0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74,860.0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37,190.0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7,800.0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44,990.0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305,900.0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40,373.0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346,273.0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8,800.0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8,800.0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2,100.0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2,100.0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30.0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30.0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1,600.0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1,600.0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800.0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150.0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         950.0 </w:t>
            </w:r>
          </w:p>
        </w:tc>
      </w:tr>
      <w:tr w:rsidR="00F27538" w:rsidRPr="00691E5C" w:rsidTr="00691E5C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1,706,700.0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  80,300.0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691E5C" w:rsidRDefault="00F27538" w:rsidP="00F2753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691E5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        1,787,000.0 </w:t>
            </w:r>
          </w:p>
        </w:tc>
      </w:tr>
    </w:tbl>
    <w:p w:rsidR="0021748E" w:rsidRPr="00691E5C" w:rsidRDefault="0021748E" w:rsidP="0021748E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  <w:lang w:val="ka-GE"/>
        </w:rPr>
      </w:pPr>
    </w:p>
    <w:p w:rsidR="0021748E" w:rsidRPr="00691E5C" w:rsidRDefault="0021748E" w:rsidP="0021748E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 w:rsidRPr="00691E5C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Pr="00691E5C">
        <w:rPr>
          <w:rFonts w:ascii="Sylfaen" w:hAnsi="Sylfaen" w:cs="Sylfaen"/>
          <w:b/>
          <w:szCs w:val="21"/>
          <w:shd w:val="clear" w:color="auto" w:fill="FFFFFF"/>
        </w:rPr>
        <w:tab/>
      </w:r>
    </w:p>
    <w:p w:rsidR="0021748E" w:rsidRPr="00691E5C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691E5C">
        <w:rPr>
          <w:rFonts w:ascii="Sylfaen" w:hAnsi="Sylfaen" w:cs="Sylfaen"/>
          <w:szCs w:val="21"/>
          <w:shd w:val="clear" w:color="auto" w:fill="FFFFFF"/>
        </w:rPr>
        <w:tab/>
      </w:r>
    </w:p>
    <w:p w:rsidR="00396821" w:rsidRPr="00691E5C" w:rsidRDefault="0021748E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ab/>
        <w:t xml:space="preserve">2021 წლის 9 თვის განმავლობაში 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691E5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691E5C">
        <w:rPr>
          <w:rFonts w:ascii="Sylfaen" w:hAnsi="Sylfaen" w:cs="Sylfaen"/>
          <w:szCs w:val="21"/>
          <w:shd w:val="clear" w:color="auto" w:fill="FFFFFF"/>
        </w:rPr>
        <w:t>202</w:t>
      </w:r>
      <w:r w:rsidR="009D05FD" w:rsidRPr="00691E5C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C7AD0" w:rsidRPr="00691E5C">
        <w:rPr>
          <w:rFonts w:ascii="Sylfaen" w:hAnsi="Sylfaen" w:cs="Sylfaen"/>
          <w:szCs w:val="21"/>
          <w:shd w:val="clear" w:color="auto" w:fill="FFFFFF"/>
          <w:lang w:val="ka-GE"/>
        </w:rPr>
        <w:t>30 სექტემბრის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D05FD" w:rsidRPr="00691E5C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83FDF" w:rsidRPr="00691E5C">
        <w:rPr>
          <w:rFonts w:ascii="Sylfaen" w:hAnsi="Sylfaen" w:cs="Sylfaen"/>
          <w:szCs w:val="21"/>
          <w:shd w:val="clear" w:color="auto" w:fill="FFFFFF"/>
        </w:rPr>
        <w:t>2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691E5C">
        <w:rPr>
          <w:rFonts w:ascii="Sylfaen" w:hAnsi="Sylfaen" w:cs="Sylfaen"/>
          <w:szCs w:val="21"/>
          <w:shd w:val="clear" w:color="auto" w:fill="FFFFFF"/>
        </w:rPr>
        <w:t>.</w:t>
      </w:r>
      <w:r w:rsidR="00883FDF" w:rsidRPr="00691E5C">
        <w:rPr>
          <w:rFonts w:ascii="Sylfaen" w:hAnsi="Sylfaen" w:cs="Sylfaen"/>
          <w:szCs w:val="21"/>
          <w:shd w:val="clear" w:color="auto" w:fill="FFFFFF"/>
        </w:rPr>
        <w:t>4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 w:rsidRPr="00691E5C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691E5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691E5C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91E5C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9D05FD" w:rsidRPr="00691E5C">
        <w:rPr>
          <w:rFonts w:ascii="Sylfaen" w:hAnsi="Sylfaen" w:cs="Sylfaen"/>
          <w:shd w:val="clear" w:color="auto" w:fill="FFFFFF"/>
          <w:lang w:val="ka-GE"/>
        </w:rPr>
        <w:t>1</w:t>
      </w:r>
      <w:r w:rsidRPr="00691E5C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883FDF" w:rsidRPr="00691E5C">
        <w:rPr>
          <w:rFonts w:ascii="Sylfaen" w:hAnsi="Sylfaen" w:cs="Sylfaen"/>
          <w:szCs w:val="21"/>
          <w:shd w:val="clear" w:color="auto" w:fill="FFFFFF"/>
        </w:rPr>
        <w:t xml:space="preserve">0 </w:t>
      </w:r>
      <w:r w:rsidR="00883FDF" w:rsidRPr="00691E5C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Pr="00691E5C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691E5C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691E5C">
        <w:rPr>
          <w:rFonts w:ascii="Sylfaen" w:hAnsi="Sylfaen" w:cs="Sylfaen"/>
          <w:shd w:val="clear" w:color="auto" w:fill="FFFFFF"/>
        </w:rPr>
        <w:t xml:space="preserve"> </w:t>
      </w:r>
      <w:r w:rsidR="00883FDF" w:rsidRPr="00691E5C">
        <w:rPr>
          <w:rFonts w:ascii="Sylfaen" w:hAnsi="Sylfaen" w:cs="Sylfaen"/>
          <w:shd w:val="clear" w:color="auto" w:fill="FFFFFF"/>
          <w:lang w:val="ka-GE"/>
        </w:rPr>
        <w:t>507</w:t>
      </w:r>
      <w:r w:rsidR="009E10CF" w:rsidRPr="00691E5C">
        <w:rPr>
          <w:rFonts w:ascii="Sylfaen" w:hAnsi="Sylfaen" w:cs="Sylfaen"/>
          <w:shd w:val="clear" w:color="auto" w:fill="FFFFFF"/>
        </w:rPr>
        <w:t>.</w:t>
      </w:r>
      <w:r w:rsidR="00883FDF" w:rsidRPr="00691E5C">
        <w:rPr>
          <w:rFonts w:ascii="Sylfaen" w:hAnsi="Sylfaen" w:cs="Sylfaen"/>
          <w:shd w:val="clear" w:color="auto" w:fill="FFFFFF"/>
          <w:lang w:val="ka-GE"/>
        </w:rPr>
        <w:t>1</w:t>
      </w:r>
      <w:r w:rsidRPr="00691E5C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739E5" w:rsidRPr="00691E5C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883FDF" w:rsidRPr="00691E5C">
        <w:rPr>
          <w:rFonts w:ascii="Sylfaen" w:hAnsi="Sylfaen" w:cs="Sylfaen"/>
          <w:shd w:val="clear" w:color="auto" w:fill="FFFFFF"/>
          <w:lang w:val="ka-GE"/>
        </w:rPr>
        <w:t>456</w:t>
      </w:r>
      <w:r w:rsidR="003150E3" w:rsidRPr="00691E5C">
        <w:rPr>
          <w:rFonts w:ascii="Sylfaen" w:hAnsi="Sylfaen" w:cs="Sylfaen"/>
          <w:shd w:val="clear" w:color="auto" w:fill="FFFFFF"/>
          <w:lang w:val="ka-GE"/>
        </w:rPr>
        <w:t>.</w:t>
      </w:r>
      <w:r w:rsidR="00883FDF" w:rsidRPr="00691E5C">
        <w:rPr>
          <w:rFonts w:ascii="Sylfaen" w:hAnsi="Sylfaen" w:cs="Sylfaen"/>
          <w:shd w:val="clear" w:color="auto" w:fill="FFFFFF"/>
          <w:lang w:val="ka-GE"/>
        </w:rPr>
        <w:t>8</w:t>
      </w:r>
      <w:r w:rsidRPr="00691E5C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83FDF" w:rsidRPr="00691E5C">
        <w:rPr>
          <w:rFonts w:ascii="Sylfaen" w:hAnsi="Sylfaen"/>
          <w:szCs w:val="21"/>
          <w:shd w:val="clear" w:color="auto" w:fill="FFFFFF"/>
          <w:lang w:val="ka-GE"/>
        </w:rPr>
        <w:t>38</w:t>
      </w:r>
      <w:r w:rsidR="005C33E2" w:rsidRPr="00691E5C">
        <w:rPr>
          <w:rFonts w:ascii="Sylfaen" w:hAnsi="Sylfaen"/>
          <w:szCs w:val="21"/>
          <w:shd w:val="clear" w:color="auto" w:fill="FFFFFF"/>
        </w:rPr>
        <w:t>.</w:t>
      </w:r>
      <w:r w:rsidR="00883FDF" w:rsidRPr="00691E5C">
        <w:rPr>
          <w:rFonts w:ascii="Sylfaen" w:hAnsi="Sylfaen"/>
          <w:szCs w:val="21"/>
          <w:shd w:val="clear" w:color="auto" w:fill="FFFFFF"/>
          <w:lang w:val="ka-GE"/>
        </w:rPr>
        <w:t>8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691E5C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691E5C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691E5C">
        <w:rPr>
          <w:rFonts w:ascii="Sylfaen" w:hAnsi="Sylfaen" w:cs="Sylfaen"/>
          <w:shd w:val="clear" w:color="auto" w:fill="FFFFFF"/>
        </w:rPr>
        <w:t xml:space="preserve"> </w:t>
      </w:r>
      <w:r w:rsidR="00883FDF" w:rsidRPr="00691E5C">
        <w:rPr>
          <w:rFonts w:ascii="Sylfaen" w:hAnsi="Sylfaen" w:cs="Sylfaen"/>
          <w:shd w:val="clear" w:color="auto" w:fill="FFFFFF"/>
          <w:lang w:val="ka-GE"/>
        </w:rPr>
        <w:t>147</w:t>
      </w:r>
      <w:r w:rsidR="003150E3" w:rsidRPr="00691E5C">
        <w:rPr>
          <w:rFonts w:ascii="Sylfaen" w:hAnsi="Sylfaen" w:cs="Sylfaen"/>
          <w:shd w:val="clear" w:color="auto" w:fill="FFFFFF"/>
          <w:lang w:val="ka-GE"/>
        </w:rPr>
        <w:t>.</w:t>
      </w:r>
      <w:r w:rsidR="00883FDF" w:rsidRPr="00691E5C">
        <w:rPr>
          <w:rFonts w:ascii="Sylfaen" w:hAnsi="Sylfaen" w:cs="Sylfaen"/>
          <w:shd w:val="clear" w:color="auto" w:fill="FFFFFF"/>
          <w:lang w:val="ka-GE"/>
        </w:rPr>
        <w:t>5</w:t>
      </w:r>
      <w:r w:rsidRPr="00691E5C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883FDF" w:rsidRPr="00691E5C">
        <w:rPr>
          <w:rFonts w:ascii="Sylfaen" w:hAnsi="Sylfaen" w:cs="Sylfaen"/>
          <w:shd w:val="clear" w:color="auto" w:fill="FFFFFF"/>
          <w:lang w:val="ka-GE"/>
        </w:rPr>
        <w:t>320</w:t>
      </w:r>
      <w:r w:rsidRPr="00691E5C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83FDF" w:rsidRPr="00691E5C">
        <w:rPr>
          <w:rFonts w:ascii="Sylfaen" w:hAnsi="Sylfaen"/>
          <w:szCs w:val="21"/>
          <w:shd w:val="clear" w:color="auto" w:fill="FFFFFF"/>
          <w:lang w:val="ka-GE"/>
        </w:rPr>
        <w:t>38</w:t>
      </w:r>
      <w:r w:rsidR="00B4541C" w:rsidRPr="00691E5C">
        <w:rPr>
          <w:rFonts w:ascii="Sylfaen" w:hAnsi="Sylfaen"/>
          <w:szCs w:val="21"/>
          <w:shd w:val="clear" w:color="auto" w:fill="FFFFFF"/>
          <w:lang w:val="ka-GE"/>
        </w:rPr>
        <w:t>.</w:t>
      </w:r>
      <w:r w:rsidR="00883FDF" w:rsidRPr="00691E5C">
        <w:rPr>
          <w:rFonts w:ascii="Sylfaen" w:hAnsi="Sylfaen"/>
          <w:szCs w:val="21"/>
          <w:shd w:val="clear" w:color="auto" w:fill="FFFFFF"/>
          <w:lang w:val="ka-GE"/>
        </w:rPr>
        <w:t>8</w:t>
      </w:r>
      <w:r w:rsidRPr="00691E5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396821" w:rsidRPr="00691E5C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691E5C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691E5C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396821" w:rsidRPr="00691E5C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691E5C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D82730" w:rsidRPr="00691E5C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691E5C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883FDF" w:rsidRPr="00691E5C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30 სექტემბრის </w:t>
      </w:r>
      <w:r w:rsidR="00396821" w:rsidRPr="00691E5C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691E5C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691E5C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691E5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691E5C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691E5C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691E5C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2456"/>
      </w:tblGrid>
      <w:tr w:rsidR="009E10CF" w:rsidRPr="00691E5C" w:rsidTr="0058522A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9E10CF" w:rsidRPr="00691E5C" w:rsidRDefault="009E10CF" w:rsidP="009E10CF">
            <w:pPr>
              <w:rPr>
                <w:rFonts w:ascii="Sylfaen" w:eastAsia="Times New Roman" w:hAnsi="Sylfaen" w:cstheme="minorHAnsi"/>
                <w:b/>
                <w:bCs/>
                <w:sz w:val="18"/>
                <w:szCs w:val="18"/>
                <w:lang w:val="ka-GE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sz w:val="20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9E10CF" w:rsidP="00883FDF">
            <w:pPr>
              <w:jc w:val="right"/>
              <w:rPr>
                <w:rFonts w:ascii="Sylfaen" w:hAnsi="Sylfaen" w:cstheme="minorHAnsi"/>
                <w:b/>
                <w:bCs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b/>
                <w:bCs/>
                <w:sz w:val="20"/>
                <w:szCs w:val="18"/>
              </w:rPr>
              <w:t>5,</w:t>
            </w:r>
            <w:r w:rsidR="00883FDF" w:rsidRPr="00691E5C">
              <w:rPr>
                <w:rFonts w:ascii="Sylfaen" w:hAnsi="Sylfaen" w:cstheme="minorHAnsi"/>
                <w:b/>
                <w:bCs/>
                <w:sz w:val="20"/>
                <w:szCs w:val="18"/>
              </w:rPr>
              <w:t>495</w:t>
            </w:r>
            <w:r w:rsidRPr="00691E5C">
              <w:rPr>
                <w:rFonts w:ascii="Sylfaen" w:hAnsi="Sylfaen" w:cstheme="minorHAnsi"/>
                <w:b/>
                <w:bCs/>
                <w:sz w:val="20"/>
                <w:szCs w:val="18"/>
              </w:rPr>
              <w:t>,</w:t>
            </w:r>
            <w:r w:rsidR="00883FDF" w:rsidRPr="00691E5C">
              <w:rPr>
                <w:rFonts w:ascii="Sylfaen" w:hAnsi="Sylfaen" w:cstheme="minorHAnsi"/>
                <w:b/>
                <w:bCs/>
                <w:sz w:val="20"/>
                <w:szCs w:val="18"/>
              </w:rPr>
              <w:t>516</w:t>
            </w:r>
            <w:r w:rsidRPr="00691E5C">
              <w:rPr>
                <w:rFonts w:ascii="Sylfaen" w:hAnsi="Sylfaen" w:cstheme="minorHAnsi"/>
                <w:b/>
                <w:bCs/>
                <w:sz w:val="20"/>
                <w:szCs w:val="18"/>
              </w:rPr>
              <w:t>.</w:t>
            </w:r>
            <w:r w:rsidR="00883FDF" w:rsidRPr="00691E5C">
              <w:rPr>
                <w:rFonts w:ascii="Sylfaen" w:hAnsi="Sylfaen" w:cstheme="minorHAnsi"/>
                <w:b/>
                <w:bCs/>
                <w:sz w:val="20"/>
                <w:szCs w:val="18"/>
              </w:rPr>
              <w:t>4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691E5C" w:rsidRDefault="009E10CF" w:rsidP="009E10CF">
            <w:pPr>
              <w:rPr>
                <w:rFonts w:ascii="Sylfaen" w:eastAsia="Times New Roman" w:hAnsi="Sylfaen" w:cstheme="minorHAnsi"/>
                <w:b/>
                <w:bCs/>
                <w:sz w:val="18"/>
                <w:szCs w:val="18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sz w:val="18"/>
                <w:szCs w:val="18"/>
              </w:rPr>
              <w:t>სახაზინო ფასიანი ქაღალდები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9E10CF" w:rsidP="00883FDF">
            <w:pPr>
              <w:ind w:right="45" w:firstLineChars="100" w:firstLine="181"/>
              <w:jc w:val="right"/>
              <w:rPr>
                <w:rFonts w:ascii="Sylfaen" w:hAnsi="Sylfaen" w:cstheme="minorHAnsi"/>
                <w:b/>
                <w:bCs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5,</w:t>
            </w:r>
            <w:r w:rsidR="00883FDF"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135</w:t>
            </w:r>
            <w:r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,</w:t>
            </w:r>
            <w:r w:rsidR="00883FDF"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907</w:t>
            </w:r>
            <w:r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9E10CF" w:rsidRPr="00691E5C" w:rsidRDefault="009E10CF" w:rsidP="009E10CF">
            <w:pPr>
              <w:ind w:left="341"/>
              <w:rPr>
                <w:rFonts w:ascii="Sylfaen" w:eastAsia="Times New Roman" w:hAnsi="Sylfaen" w:cstheme="minorHAnsi"/>
                <w:sz w:val="18"/>
                <w:szCs w:val="18"/>
              </w:rPr>
            </w:pPr>
            <w:r w:rsidRPr="00691E5C"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  <w:t>6</w:t>
            </w:r>
            <w:r w:rsidRPr="00691E5C">
              <w:rPr>
                <w:rFonts w:ascii="Sylfaen" w:eastAsia="Times New Roman" w:hAnsi="Sylfaen" w:cstheme="minorHAnsi"/>
                <w:sz w:val="18"/>
                <w:szCs w:val="18"/>
              </w:rPr>
              <w:t xml:space="preserve"> თვის ვადიანობის სახაზინო ვალდებულებები</w:t>
            </w:r>
          </w:p>
        </w:tc>
        <w:tc>
          <w:tcPr>
            <w:tcW w:w="1266" w:type="pct"/>
            <w:vAlign w:val="center"/>
          </w:tcPr>
          <w:p w:rsidR="009E10CF" w:rsidRPr="00691E5C" w:rsidRDefault="00883FDF" w:rsidP="009C518D">
            <w:pPr>
              <w:ind w:right="45"/>
              <w:jc w:val="right"/>
              <w:rPr>
                <w:rFonts w:ascii="Sylfaen" w:hAnsi="Sylfaen" w:cstheme="minorHAnsi"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sz w:val="18"/>
                <w:szCs w:val="18"/>
              </w:rPr>
              <w:t>7</w:t>
            </w:r>
            <w:r w:rsidR="00D82730" w:rsidRPr="00691E5C">
              <w:rPr>
                <w:rFonts w:ascii="Sylfaen" w:hAnsi="Sylfaen" w:cstheme="minorHAnsi"/>
                <w:sz w:val="18"/>
                <w:szCs w:val="18"/>
              </w:rPr>
              <w:t>5</w:t>
            </w:r>
            <w:r w:rsidR="009E10CF" w:rsidRPr="00691E5C">
              <w:rPr>
                <w:rFonts w:ascii="Sylfaen" w:hAnsi="Sylfaen" w:cstheme="minorHAnsi"/>
                <w:sz w:val="18"/>
                <w:szCs w:val="18"/>
              </w:rPr>
              <w:t>,</w:t>
            </w:r>
            <w:r w:rsidR="009C518D" w:rsidRPr="00691E5C">
              <w:rPr>
                <w:rFonts w:ascii="Sylfaen" w:hAnsi="Sylfaen" w:cstheme="minorHAnsi"/>
                <w:sz w:val="18"/>
                <w:szCs w:val="18"/>
              </w:rPr>
              <w:t>000</w:t>
            </w:r>
            <w:r w:rsidR="009E10CF" w:rsidRPr="00691E5C">
              <w:rPr>
                <w:rFonts w:ascii="Sylfaen" w:hAnsi="Sylfaen" w:cstheme="minorHAnsi"/>
                <w:sz w:val="18"/>
                <w:szCs w:val="18"/>
              </w:rPr>
              <w:t>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691E5C" w:rsidRDefault="009E10CF" w:rsidP="009E10CF">
            <w:pPr>
              <w:ind w:left="341"/>
              <w:rPr>
                <w:rFonts w:ascii="Sylfaen" w:eastAsia="Times New Roman" w:hAnsi="Sylfaen" w:cstheme="minorHAnsi"/>
                <w:sz w:val="18"/>
                <w:szCs w:val="18"/>
              </w:rPr>
            </w:pPr>
            <w:r w:rsidRPr="00691E5C"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883FDF" w:rsidP="009C518D">
            <w:pPr>
              <w:ind w:right="45"/>
              <w:jc w:val="right"/>
              <w:rPr>
                <w:rFonts w:ascii="Sylfaen" w:hAnsi="Sylfaen" w:cstheme="minorHAnsi"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sz w:val="18"/>
                <w:szCs w:val="18"/>
              </w:rPr>
              <w:t>255</w:t>
            </w:r>
            <w:r w:rsidR="009E10CF" w:rsidRPr="00691E5C">
              <w:rPr>
                <w:rFonts w:ascii="Sylfaen" w:hAnsi="Sylfaen" w:cstheme="minorHAnsi"/>
                <w:sz w:val="18"/>
                <w:szCs w:val="18"/>
              </w:rPr>
              <w:t>,</w:t>
            </w:r>
            <w:r w:rsidR="009C518D" w:rsidRPr="00691E5C">
              <w:rPr>
                <w:rFonts w:ascii="Sylfaen" w:hAnsi="Sylfaen" w:cstheme="minorHAnsi"/>
                <w:sz w:val="18"/>
                <w:szCs w:val="18"/>
              </w:rPr>
              <w:t>000</w:t>
            </w:r>
            <w:r w:rsidR="009E10CF" w:rsidRPr="00691E5C">
              <w:rPr>
                <w:rFonts w:ascii="Sylfaen" w:hAnsi="Sylfaen" w:cstheme="minorHAnsi"/>
                <w:sz w:val="18"/>
                <w:szCs w:val="18"/>
              </w:rPr>
              <w:t>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691E5C" w:rsidRDefault="009E10CF" w:rsidP="009E10CF">
            <w:pPr>
              <w:ind w:left="341"/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</w:pPr>
            <w:r w:rsidRPr="00691E5C"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0625B2" w:rsidP="00D82730">
            <w:pPr>
              <w:ind w:right="45"/>
              <w:jc w:val="right"/>
              <w:rPr>
                <w:rFonts w:ascii="Sylfaen" w:hAnsi="Sylfaen" w:cstheme="minorHAnsi"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sz w:val="18"/>
                <w:szCs w:val="18"/>
              </w:rPr>
              <w:t>980</w:t>
            </w:r>
            <w:r w:rsidR="009E10CF" w:rsidRPr="00691E5C">
              <w:rPr>
                <w:rFonts w:ascii="Sylfaen" w:hAnsi="Sylfaen" w:cstheme="minorHAnsi"/>
                <w:sz w:val="18"/>
                <w:szCs w:val="18"/>
              </w:rPr>
              <w:t>,0</w:t>
            </w:r>
            <w:r w:rsidR="008739E5" w:rsidRPr="00691E5C">
              <w:rPr>
                <w:rFonts w:ascii="Sylfaen" w:hAnsi="Sylfaen" w:cstheme="minorHAnsi"/>
                <w:sz w:val="18"/>
                <w:szCs w:val="18"/>
              </w:rPr>
              <w:t>00</w:t>
            </w:r>
            <w:r w:rsidR="009E10CF" w:rsidRPr="00691E5C">
              <w:rPr>
                <w:rFonts w:ascii="Sylfaen" w:hAnsi="Sylfaen" w:cstheme="minorHAnsi"/>
                <w:sz w:val="18"/>
                <w:szCs w:val="18"/>
              </w:rPr>
              <w:t>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691E5C" w:rsidRDefault="009E10CF" w:rsidP="009E10CF">
            <w:pPr>
              <w:ind w:left="341"/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</w:pPr>
            <w:r w:rsidRPr="00691E5C"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9E10CF" w:rsidP="000625B2">
            <w:pPr>
              <w:ind w:right="45"/>
              <w:jc w:val="right"/>
              <w:rPr>
                <w:rFonts w:ascii="Sylfaen" w:hAnsi="Sylfaen" w:cstheme="minorHAnsi"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sz w:val="18"/>
                <w:szCs w:val="18"/>
              </w:rPr>
              <w:t>2,</w:t>
            </w:r>
            <w:r w:rsidR="000625B2" w:rsidRPr="00691E5C">
              <w:rPr>
                <w:rFonts w:ascii="Sylfaen" w:hAnsi="Sylfaen" w:cstheme="minorHAnsi"/>
                <w:sz w:val="18"/>
                <w:szCs w:val="18"/>
              </w:rPr>
              <w:t>520</w:t>
            </w:r>
            <w:r w:rsidRPr="00691E5C">
              <w:rPr>
                <w:rFonts w:ascii="Sylfaen" w:hAnsi="Sylfaen" w:cstheme="minorHAnsi"/>
                <w:sz w:val="18"/>
                <w:szCs w:val="18"/>
              </w:rPr>
              <w:t>,</w:t>
            </w:r>
            <w:r w:rsidR="000625B2" w:rsidRPr="00691E5C">
              <w:rPr>
                <w:rFonts w:ascii="Sylfaen" w:hAnsi="Sylfaen" w:cstheme="minorHAnsi"/>
                <w:sz w:val="18"/>
                <w:szCs w:val="18"/>
              </w:rPr>
              <w:t>339</w:t>
            </w:r>
            <w:r w:rsidRPr="00691E5C">
              <w:rPr>
                <w:rFonts w:ascii="Sylfaen" w:hAnsi="Sylfaen" w:cstheme="minorHAnsi"/>
                <w:sz w:val="18"/>
                <w:szCs w:val="18"/>
              </w:rPr>
              <w:t>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691E5C" w:rsidRDefault="009E10CF" w:rsidP="009E10CF">
            <w:pPr>
              <w:ind w:left="341"/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</w:pPr>
            <w:r w:rsidRPr="00691E5C"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9E10CF" w:rsidP="000625B2">
            <w:pPr>
              <w:ind w:right="45"/>
              <w:jc w:val="right"/>
              <w:rPr>
                <w:rFonts w:ascii="Sylfaen" w:hAnsi="Sylfaen" w:cstheme="minorHAnsi"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sz w:val="18"/>
                <w:szCs w:val="18"/>
              </w:rPr>
              <w:t>1,</w:t>
            </w:r>
            <w:r w:rsidR="000625B2" w:rsidRPr="00691E5C">
              <w:rPr>
                <w:rFonts w:ascii="Sylfaen" w:hAnsi="Sylfaen" w:cstheme="minorHAnsi"/>
                <w:sz w:val="18"/>
                <w:szCs w:val="18"/>
              </w:rPr>
              <w:t>305</w:t>
            </w:r>
            <w:r w:rsidRPr="00691E5C">
              <w:rPr>
                <w:rFonts w:ascii="Sylfaen" w:hAnsi="Sylfaen" w:cstheme="minorHAnsi"/>
                <w:sz w:val="18"/>
                <w:szCs w:val="18"/>
              </w:rPr>
              <w:t>,</w:t>
            </w:r>
            <w:r w:rsidR="00D82730" w:rsidRPr="00691E5C">
              <w:rPr>
                <w:rFonts w:ascii="Sylfaen" w:hAnsi="Sylfaen" w:cstheme="minorHAnsi"/>
                <w:sz w:val="18"/>
                <w:szCs w:val="18"/>
              </w:rPr>
              <w:t>568</w:t>
            </w:r>
            <w:r w:rsidRPr="00691E5C">
              <w:rPr>
                <w:rFonts w:ascii="Sylfaen" w:hAnsi="Sylfaen" w:cstheme="minorHAnsi"/>
                <w:sz w:val="18"/>
                <w:szCs w:val="18"/>
              </w:rPr>
              <w:t>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691E5C" w:rsidRDefault="009E10CF" w:rsidP="009E10CF">
            <w:pPr>
              <w:rPr>
                <w:rFonts w:ascii="Sylfaen" w:eastAsia="Times New Roman" w:hAnsi="Sylfaen" w:cstheme="minorHAnsi"/>
                <w:b/>
                <w:bCs/>
                <w:sz w:val="18"/>
                <w:szCs w:val="18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sz w:val="18"/>
                <w:szCs w:val="18"/>
              </w:rPr>
              <w:t>სხვა ფასიანი ქაღალდები</w:t>
            </w:r>
          </w:p>
        </w:tc>
        <w:tc>
          <w:tcPr>
            <w:tcW w:w="1266" w:type="pct"/>
            <w:vAlign w:val="center"/>
          </w:tcPr>
          <w:p w:rsidR="009E10CF" w:rsidRPr="00691E5C" w:rsidRDefault="008739E5" w:rsidP="00D82730">
            <w:pPr>
              <w:ind w:right="45" w:firstLineChars="100" w:firstLine="181"/>
              <w:jc w:val="right"/>
              <w:rPr>
                <w:rFonts w:ascii="Sylfaen" w:hAnsi="Sylfaen" w:cstheme="minorHAnsi"/>
                <w:b/>
                <w:bCs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3</w:t>
            </w:r>
            <w:r w:rsidR="00D82730"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2</w:t>
            </w:r>
            <w:r w:rsidR="000625B2"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0</w:t>
            </w:r>
            <w:r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,846.0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691E5C" w:rsidRDefault="009E10CF" w:rsidP="009E10CF">
            <w:pPr>
              <w:ind w:left="341"/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</w:pPr>
            <w:r w:rsidRPr="00691E5C"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D82730" w:rsidP="009E10CF">
            <w:pPr>
              <w:ind w:right="45"/>
              <w:jc w:val="right"/>
              <w:rPr>
                <w:rFonts w:ascii="Sylfaen" w:hAnsi="Sylfaen" w:cstheme="minorHAnsi"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sz w:val="18"/>
                <w:szCs w:val="18"/>
              </w:rPr>
              <w:t>160</w:t>
            </w:r>
            <w:r w:rsidR="008739E5" w:rsidRPr="00691E5C">
              <w:rPr>
                <w:rFonts w:ascii="Sylfaen" w:hAnsi="Sylfaen" w:cstheme="minorHAnsi"/>
                <w:sz w:val="18"/>
                <w:szCs w:val="18"/>
              </w:rPr>
              <w:t>,846.0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691E5C" w:rsidRDefault="009E10CF" w:rsidP="009E10CF">
            <w:pPr>
              <w:ind w:left="341"/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</w:pPr>
            <w:r w:rsidRPr="00691E5C">
              <w:rPr>
                <w:rFonts w:ascii="Sylfaen" w:eastAsia="Times New Roman" w:hAnsi="Sylfaen" w:cstheme="minorHAnsi"/>
                <w:sz w:val="18"/>
                <w:szCs w:val="18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691E5C" w:rsidRDefault="000625B2" w:rsidP="009E10CF">
            <w:pPr>
              <w:ind w:right="45"/>
              <w:jc w:val="right"/>
              <w:rPr>
                <w:rFonts w:ascii="Sylfaen" w:hAnsi="Sylfaen" w:cstheme="minorHAnsi"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sz w:val="18"/>
                <w:szCs w:val="18"/>
              </w:rPr>
              <w:t>160</w:t>
            </w:r>
            <w:r w:rsidR="008739E5" w:rsidRPr="00691E5C">
              <w:rPr>
                <w:rFonts w:ascii="Sylfaen" w:hAnsi="Sylfaen" w:cstheme="minorHAnsi"/>
                <w:sz w:val="18"/>
                <w:szCs w:val="18"/>
              </w:rPr>
              <w:t>,000.0</w:t>
            </w:r>
          </w:p>
        </w:tc>
      </w:tr>
      <w:tr w:rsidR="009E10CF" w:rsidRPr="00691E5C" w:rsidTr="0058522A">
        <w:trPr>
          <w:trHeight w:val="288"/>
          <w:jc w:val="center"/>
        </w:trPr>
        <w:tc>
          <w:tcPr>
            <w:tcW w:w="3734" w:type="pct"/>
            <w:vAlign w:val="center"/>
          </w:tcPr>
          <w:p w:rsidR="009E10CF" w:rsidRPr="00691E5C" w:rsidRDefault="009E10CF" w:rsidP="009E10CF">
            <w:pPr>
              <w:rPr>
                <w:rFonts w:ascii="Sylfaen" w:eastAsia="Times New Roman" w:hAnsi="Sylfaen" w:cstheme="minorHAnsi"/>
                <w:b/>
                <w:bCs/>
                <w:sz w:val="18"/>
                <w:szCs w:val="18"/>
                <w:lang w:val="ka-GE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sz w:val="18"/>
                <w:szCs w:val="18"/>
              </w:rPr>
              <w:t>საბიუჯეტო ორგანიზაციების სესხის სახით არსებულ</w:t>
            </w:r>
            <w:r w:rsidRPr="00691E5C">
              <w:rPr>
                <w:rFonts w:ascii="Sylfaen" w:eastAsia="Times New Roman" w:hAnsi="Sylfaen" w:cstheme="minorHAnsi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691E5C">
              <w:rPr>
                <w:rFonts w:ascii="Sylfaen" w:eastAsia="Times New Roman" w:hAnsi="Sylfaen" w:cstheme="minorHAnsi"/>
                <w:b/>
                <w:bCs/>
                <w:sz w:val="18"/>
                <w:szCs w:val="18"/>
              </w:rPr>
              <w:t xml:space="preserve"> ნაშ</w:t>
            </w:r>
            <w:r w:rsidRPr="00691E5C">
              <w:rPr>
                <w:rFonts w:ascii="Sylfaen" w:eastAsia="Times New Roman" w:hAnsi="Sylfaen" w:cstheme="minorHAnsi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266" w:type="pct"/>
            <w:vAlign w:val="center"/>
          </w:tcPr>
          <w:p w:rsidR="009E10CF" w:rsidRPr="00691E5C" w:rsidRDefault="000625B2" w:rsidP="000625B2">
            <w:pPr>
              <w:ind w:right="45" w:firstLineChars="100" w:firstLine="181"/>
              <w:jc w:val="right"/>
              <w:rPr>
                <w:rFonts w:ascii="Sylfaen" w:hAnsi="Sylfaen" w:cstheme="minorHAnsi"/>
                <w:b/>
                <w:bCs/>
                <w:sz w:val="18"/>
                <w:szCs w:val="18"/>
              </w:rPr>
            </w:pPr>
            <w:r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38</w:t>
            </w:r>
            <w:r w:rsidR="00D82730"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,</w:t>
            </w:r>
            <w:r w:rsidRPr="00691E5C">
              <w:rPr>
                <w:rFonts w:ascii="Sylfaen" w:hAnsi="Sylfaen" w:cstheme="minorHAnsi"/>
                <w:b/>
                <w:bCs/>
                <w:sz w:val="18"/>
                <w:szCs w:val="18"/>
              </w:rPr>
              <w:t>763.4</w:t>
            </w:r>
          </w:p>
        </w:tc>
      </w:tr>
    </w:tbl>
    <w:p w:rsidR="00396821" w:rsidRPr="00691E5C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21748E" w:rsidRPr="00691E5C" w:rsidRDefault="00B404A9" w:rsidP="002174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691E5C">
        <w:rPr>
          <w:rFonts w:ascii="Sylfaen" w:hAnsi="Sylfaen"/>
          <w:lang w:val="ka-GE"/>
        </w:rPr>
        <w:t>202</w:t>
      </w:r>
      <w:r w:rsidR="003B0642" w:rsidRPr="00691E5C">
        <w:rPr>
          <w:rFonts w:ascii="Sylfaen" w:hAnsi="Sylfaen"/>
        </w:rPr>
        <w:t>1</w:t>
      </w:r>
      <w:r w:rsidRPr="00691E5C">
        <w:rPr>
          <w:rFonts w:ascii="Sylfaen" w:hAnsi="Sylfaen"/>
          <w:lang w:val="ka-GE"/>
        </w:rPr>
        <w:t xml:space="preserve"> </w:t>
      </w:r>
      <w:r w:rsidRPr="00691E5C">
        <w:rPr>
          <w:rFonts w:ascii="Sylfaen" w:hAnsi="Sylfaen" w:cs="Sylfaen"/>
        </w:rPr>
        <w:t>წლის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სახელმწიფო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ბიუჯეტის</w:t>
      </w:r>
      <w:r w:rsidRPr="00691E5C">
        <w:rPr>
          <w:rFonts w:ascii="Sylfaen" w:hAnsi="Sylfaen"/>
        </w:rPr>
        <w:t xml:space="preserve"> </w:t>
      </w:r>
      <w:r w:rsidR="00D82730" w:rsidRPr="00691E5C">
        <w:rPr>
          <w:rFonts w:ascii="Sylfaen" w:hAnsi="Sylfaen"/>
          <w:lang w:val="ka-GE"/>
        </w:rPr>
        <w:t xml:space="preserve">ცვლილების </w:t>
      </w:r>
      <w:r w:rsidRPr="00691E5C">
        <w:rPr>
          <w:rFonts w:ascii="Sylfaen" w:hAnsi="Sylfaen" w:cs="Sylfaen"/>
        </w:rPr>
        <w:t>პროექტი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ითვალისწინებს</w:t>
      </w:r>
      <w:r w:rsidRPr="00691E5C">
        <w:rPr>
          <w:rFonts w:ascii="Sylfaen" w:hAnsi="Sylfaen"/>
        </w:rPr>
        <w:t xml:space="preserve"> </w:t>
      </w:r>
      <w:r w:rsidR="0021748E" w:rsidRPr="00691E5C">
        <w:rPr>
          <w:rFonts w:ascii="Sylfaen" w:hAnsi="Sylfaen"/>
        </w:rPr>
        <w:t>სახაზინო ვალდებულებებისა და სახაზინო ობლიგაციების გამოშვებ</w:t>
      </w:r>
      <w:r w:rsidR="0021748E" w:rsidRPr="00691E5C">
        <w:rPr>
          <w:rFonts w:ascii="Sylfaen" w:hAnsi="Sylfaen"/>
          <w:lang w:val="ka-GE"/>
        </w:rPr>
        <w:t xml:space="preserve">იდან მიღებულ საპროგნოზო თანხას </w:t>
      </w:r>
      <w:r w:rsidR="00616855" w:rsidRPr="00691E5C">
        <w:rPr>
          <w:rFonts w:ascii="Sylfaen" w:hAnsi="Sylfaen"/>
        </w:rPr>
        <w:t>1</w:t>
      </w:r>
      <w:r w:rsidR="0021748E" w:rsidRPr="00691E5C">
        <w:rPr>
          <w:rFonts w:ascii="Sylfaen" w:hAnsi="Sylfaen"/>
          <w:lang w:val="ka-GE"/>
        </w:rPr>
        <w:t xml:space="preserve"> </w:t>
      </w:r>
      <w:r w:rsidR="00616855" w:rsidRPr="00691E5C">
        <w:rPr>
          <w:rFonts w:ascii="Sylfaen" w:hAnsi="Sylfaen"/>
        </w:rPr>
        <w:t>340</w:t>
      </w:r>
      <w:r w:rsidR="0021748E" w:rsidRPr="00691E5C">
        <w:rPr>
          <w:rFonts w:ascii="Sylfaen" w:hAnsi="Sylfaen"/>
          <w:lang w:val="ka-GE"/>
        </w:rPr>
        <w:t xml:space="preserve"> 000.0 ათასი ლარის ოდენობით და </w:t>
      </w:r>
      <w:r w:rsidR="0021748E" w:rsidRPr="00691E5C">
        <w:rPr>
          <w:rFonts w:ascii="Sylfaen" w:hAnsi="Sylfaen" w:cs="Sylfaen"/>
        </w:rPr>
        <w:t>საშინაო</w:t>
      </w:r>
      <w:r w:rsidR="0021748E" w:rsidRPr="00691E5C">
        <w:rPr>
          <w:rFonts w:ascii="Sylfaen" w:hAnsi="Sylfaen"/>
        </w:rPr>
        <w:t xml:space="preserve"> </w:t>
      </w:r>
      <w:r w:rsidR="0021748E" w:rsidRPr="00691E5C">
        <w:rPr>
          <w:rFonts w:ascii="Sylfaen" w:hAnsi="Sylfaen" w:cs="Sylfaen"/>
        </w:rPr>
        <w:t>ვალდებულებების</w:t>
      </w:r>
      <w:r w:rsidR="0021748E" w:rsidRPr="00691E5C">
        <w:rPr>
          <w:rFonts w:ascii="Sylfaen" w:hAnsi="Sylfaen"/>
        </w:rPr>
        <w:t xml:space="preserve"> </w:t>
      </w:r>
      <w:r w:rsidR="0021748E" w:rsidRPr="00691E5C">
        <w:rPr>
          <w:rFonts w:ascii="Sylfaen" w:hAnsi="Sylfaen" w:cs="Sylfaen"/>
        </w:rPr>
        <w:t>მოსალოდნელ</w:t>
      </w:r>
      <w:r w:rsidR="0021748E" w:rsidRPr="00691E5C">
        <w:rPr>
          <w:rFonts w:ascii="Sylfaen" w:hAnsi="Sylfaen"/>
        </w:rPr>
        <w:t xml:space="preserve"> </w:t>
      </w:r>
      <w:r w:rsidR="0021748E" w:rsidRPr="00691E5C">
        <w:rPr>
          <w:rFonts w:ascii="Sylfaen" w:hAnsi="Sylfaen" w:cs="Sylfaen"/>
        </w:rPr>
        <w:t>კლებას</w:t>
      </w:r>
      <w:r w:rsidR="0021748E" w:rsidRPr="00691E5C">
        <w:rPr>
          <w:rFonts w:ascii="Sylfaen" w:hAnsi="Sylfaen"/>
        </w:rPr>
        <w:t xml:space="preserve"> </w:t>
      </w:r>
      <w:r w:rsidR="0021748E" w:rsidRPr="00691E5C">
        <w:rPr>
          <w:rFonts w:ascii="Sylfaen" w:hAnsi="Sylfaen"/>
          <w:lang w:val="ka-GE"/>
        </w:rPr>
        <w:t xml:space="preserve">1 </w:t>
      </w:r>
      <w:r w:rsidR="00616855" w:rsidRPr="00691E5C">
        <w:rPr>
          <w:rFonts w:ascii="Sylfaen" w:hAnsi="Sylfaen"/>
        </w:rPr>
        <w:t>640</w:t>
      </w:r>
      <w:r w:rsidR="0021748E" w:rsidRPr="00691E5C">
        <w:rPr>
          <w:rFonts w:ascii="Sylfaen" w:hAnsi="Sylfaen"/>
          <w:lang w:val="ka-GE"/>
        </w:rPr>
        <w:t xml:space="preserve"> 000</w:t>
      </w:r>
      <w:r w:rsidR="0021748E" w:rsidRPr="00691E5C">
        <w:rPr>
          <w:rFonts w:ascii="Sylfaen" w:hAnsi="Sylfaen"/>
        </w:rPr>
        <w:t xml:space="preserve">.0 </w:t>
      </w:r>
      <w:r w:rsidR="0021748E" w:rsidRPr="00691E5C">
        <w:rPr>
          <w:rFonts w:ascii="Sylfaen" w:hAnsi="Sylfaen" w:cs="Sylfaen"/>
        </w:rPr>
        <w:t>ათასი</w:t>
      </w:r>
      <w:r w:rsidR="0021748E" w:rsidRPr="00691E5C">
        <w:rPr>
          <w:rFonts w:ascii="Sylfaen" w:hAnsi="Sylfaen"/>
        </w:rPr>
        <w:t xml:space="preserve"> </w:t>
      </w:r>
      <w:r w:rsidR="0021748E" w:rsidRPr="00691E5C">
        <w:rPr>
          <w:rFonts w:ascii="Sylfaen" w:hAnsi="Sylfaen" w:cs="Sylfaen"/>
        </w:rPr>
        <w:t>ლარის</w:t>
      </w:r>
      <w:r w:rsidR="0021748E" w:rsidRPr="00691E5C">
        <w:rPr>
          <w:rFonts w:ascii="Sylfaen" w:hAnsi="Sylfaen"/>
        </w:rPr>
        <w:t xml:space="preserve"> </w:t>
      </w:r>
      <w:r w:rsidR="0021748E" w:rsidRPr="00691E5C">
        <w:rPr>
          <w:rFonts w:ascii="Sylfaen" w:hAnsi="Sylfaen" w:cs="Sylfaen"/>
        </w:rPr>
        <w:t>ოდენობით</w:t>
      </w:r>
      <w:r w:rsidR="0021748E" w:rsidRPr="00691E5C">
        <w:rPr>
          <w:rFonts w:ascii="Sylfaen" w:hAnsi="Sylfaen"/>
          <w:lang w:val="ka-GE"/>
        </w:rPr>
        <w:t xml:space="preserve">. შესაბამისად, </w:t>
      </w:r>
      <w:r w:rsidR="00694635" w:rsidRPr="00691E5C">
        <w:rPr>
          <w:rFonts w:ascii="Sylfaen" w:hAnsi="Sylfaen"/>
        </w:rPr>
        <w:t>2021</w:t>
      </w:r>
      <w:r w:rsidR="0021748E" w:rsidRPr="00691E5C">
        <w:rPr>
          <w:rFonts w:ascii="Sylfaen" w:hAnsi="Sylfaen"/>
          <w:lang w:val="ka-GE"/>
        </w:rPr>
        <w:t xml:space="preserve"> წლის ბოლოს მდგომარეობით საშინაო ვალდებულებების წმინდა ზრდის საპროგნოზო მაჩვენებელი შეადგენს </w:t>
      </w:r>
      <w:r w:rsidR="00616855" w:rsidRPr="00691E5C">
        <w:rPr>
          <w:rFonts w:ascii="Sylfaen" w:hAnsi="Sylfaen" w:cs="Sylfaen"/>
          <w:lang w:val="ka-GE"/>
        </w:rPr>
        <w:t>(</w:t>
      </w:r>
      <w:r w:rsidR="00616855" w:rsidRPr="00691E5C">
        <w:rPr>
          <w:rFonts w:ascii="Sylfaen" w:hAnsi="Sylfaen" w:cs="Sylfaen"/>
        </w:rPr>
        <w:t>- 300 000.0</w:t>
      </w:r>
      <w:r w:rsidR="00616855" w:rsidRPr="00691E5C">
        <w:rPr>
          <w:rFonts w:ascii="Sylfaen" w:hAnsi="Sylfaen" w:cs="Sylfaen"/>
          <w:lang w:val="ka-GE"/>
        </w:rPr>
        <w:t>)</w:t>
      </w:r>
      <w:r w:rsidR="00616855" w:rsidRPr="00691E5C">
        <w:rPr>
          <w:rFonts w:ascii="Sylfaen" w:hAnsi="Sylfaen" w:cs="Sylfaen"/>
        </w:rPr>
        <w:t xml:space="preserve"> </w:t>
      </w:r>
      <w:r w:rsidR="0021748E" w:rsidRPr="00691E5C">
        <w:rPr>
          <w:rFonts w:ascii="Sylfaen" w:hAnsi="Sylfaen"/>
          <w:lang w:val="ka-GE"/>
        </w:rPr>
        <w:t>ათას ლარს (</w:t>
      </w:r>
      <w:r w:rsidR="00616855" w:rsidRPr="00691E5C">
        <w:rPr>
          <w:rFonts w:ascii="Sylfaen" w:hAnsi="Sylfaen"/>
        </w:rPr>
        <w:t>1</w:t>
      </w:r>
      <w:r w:rsidR="0021748E" w:rsidRPr="00691E5C">
        <w:rPr>
          <w:rFonts w:ascii="Sylfaen" w:hAnsi="Sylfaen"/>
          <w:lang w:val="ka-GE"/>
        </w:rPr>
        <w:t xml:space="preserve"> </w:t>
      </w:r>
      <w:r w:rsidR="00616855" w:rsidRPr="00691E5C">
        <w:rPr>
          <w:rFonts w:ascii="Sylfaen" w:hAnsi="Sylfaen"/>
        </w:rPr>
        <w:t>340</w:t>
      </w:r>
      <w:r w:rsidR="0021748E" w:rsidRPr="00691E5C">
        <w:rPr>
          <w:rFonts w:ascii="Sylfaen" w:hAnsi="Sylfaen"/>
          <w:lang w:val="ka-GE"/>
        </w:rPr>
        <w:t xml:space="preserve"> 000.0 – 1 </w:t>
      </w:r>
      <w:r w:rsidR="00616855" w:rsidRPr="00691E5C">
        <w:rPr>
          <w:rFonts w:ascii="Sylfaen" w:hAnsi="Sylfaen"/>
        </w:rPr>
        <w:t>640</w:t>
      </w:r>
      <w:r w:rsidR="0021748E" w:rsidRPr="00691E5C">
        <w:rPr>
          <w:rFonts w:ascii="Sylfaen" w:hAnsi="Sylfaen"/>
          <w:lang w:val="ka-GE"/>
        </w:rPr>
        <w:t xml:space="preserve"> 000.0).</w:t>
      </w:r>
    </w:p>
    <w:p w:rsidR="00616855" w:rsidRPr="00691E5C" w:rsidRDefault="00616855" w:rsidP="006168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691E5C">
        <w:rPr>
          <w:rFonts w:ascii="Sylfaen" w:hAnsi="Sylfaen"/>
          <w:lang w:val="ka-GE"/>
        </w:rPr>
        <w:t>202</w:t>
      </w:r>
      <w:r w:rsidRPr="00691E5C">
        <w:rPr>
          <w:rFonts w:ascii="Sylfaen" w:hAnsi="Sylfaen"/>
        </w:rPr>
        <w:t>1</w:t>
      </w:r>
      <w:r w:rsidRPr="00691E5C">
        <w:rPr>
          <w:rFonts w:ascii="Sylfaen" w:hAnsi="Sylfaen"/>
          <w:lang w:val="ka-GE"/>
        </w:rPr>
        <w:t xml:space="preserve"> </w:t>
      </w:r>
      <w:r w:rsidRPr="00691E5C">
        <w:rPr>
          <w:rFonts w:ascii="Sylfaen" w:hAnsi="Sylfaen" w:cs="Sylfaen"/>
        </w:rPr>
        <w:t>წლის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სახელმწიფო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ბიუჯეტის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/>
          <w:lang w:val="ka-GE"/>
        </w:rPr>
        <w:t xml:space="preserve">ცვლილების </w:t>
      </w:r>
      <w:r w:rsidRPr="00691E5C">
        <w:rPr>
          <w:rFonts w:ascii="Sylfaen" w:hAnsi="Sylfaen" w:cs="Sylfaen"/>
        </w:rPr>
        <w:t>პროექტი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/>
          <w:lang w:val="ka-GE"/>
        </w:rPr>
        <w:t xml:space="preserve">ასევე </w:t>
      </w:r>
      <w:r w:rsidRPr="00691E5C">
        <w:rPr>
          <w:rFonts w:ascii="Sylfaen" w:hAnsi="Sylfaen" w:cs="Sylfaen"/>
        </w:rPr>
        <w:t>ითვალისწინებს</w:t>
      </w:r>
      <w:r w:rsidRPr="00691E5C">
        <w:rPr>
          <w:rFonts w:ascii="Sylfaen" w:hAnsi="Sylfaen" w:cs="Sylfaen"/>
          <w:lang w:val="ka-GE"/>
        </w:rPr>
        <w:t xml:space="preserve"> </w:t>
      </w:r>
      <w:r w:rsidRPr="00691E5C">
        <w:rPr>
          <w:rFonts w:ascii="Sylfaen" w:hAnsi="Sylfaen" w:cs="Sylfaen"/>
        </w:rPr>
        <w:t>სახელმწიფო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ობლიგაციების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ძირითადი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თანხის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დაფარვას</w:t>
      </w:r>
      <w:r w:rsidRPr="00691E5C">
        <w:rPr>
          <w:rFonts w:ascii="Sylfaen" w:hAnsi="Sylfaen"/>
        </w:rPr>
        <w:t xml:space="preserve"> (</w:t>
      </w:r>
      <w:r w:rsidRPr="00691E5C">
        <w:rPr>
          <w:rFonts w:ascii="Sylfaen" w:hAnsi="Sylfaen" w:cs="Sylfaen"/>
        </w:rPr>
        <w:t>სებ</w:t>
      </w:r>
      <w:r w:rsidRPr="00691E5C">
        <w:rPr>
          <w:rFonts w:ascii="Sylfaen" w:hAnsi="Sylfaen"/>
        </w:rPr>
        <w:t>-</w:t>
      </w:r>
      <w:r w:rsidRPr="00691E5C">
        <w:rPr>
          <w:rFonts w:ascii="Sylfaen" w:hAnsi="Sylfaen" w:cs="Sylfaen"/>
        </w:rPr>
        <w:t>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მიმართ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ვალი</w:t>
      </w:r>
      <w:r w:rsidRPr="00691E5C">
        <w:rPr>
          <w:rFonts w:ascii="Sylfaen" w:hAnsi="Sylfaen"/>
        </w:rPr>
        <w:t xml:space="preserve">) – </w:t>
      </w:r>
      <w:r w:rsidRPr="00691E5C">
        <w:rPr>
          <w:rFonts w:ascii="Sylfaen" w:hAnsi="Sylfaen"/>
          <w:lang w:val="ka-GE"/>
        </w:rPr>
        <w:t>40 000</w:t>
      </w:r>
      <w:r w:rsidRPr="00691E5C">
        <w:rPr>
          <w:rFonts w:ascii="Sylfaen" w:hAnsi="Sylfaen"/>
        </w:rPr>
        <w:t xml:space="preserve">.0 </w:t>
      </w:r>
      <w:r w:rsidRPr="00691E5C">
        <w:rPr>
          <w:rFonts w:ascii="Sylfaen" w:hAnsi="Sylfaen" w:cs="Sylfaen"/>
        </w:rPr>
        <w:t>ათასი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ლარის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ოდენობით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საქართველოს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მთავრობის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და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საქართველოს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ეროვნული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დაფარვის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lastRenderedPageBreak/>
        <w:t>ღონისძიებების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შესახებ</w:t>
      </w:r>
      <w:r w:rsidRPr="00691E5C">
        <w:rPr>
          <w:rFonts w:ascii="Sylfaen" w:hAnsi="Sylfaen"/>
        </w:rPr>
        <w:t xml:space="preserve">“ </w:t>
      </w:r>
      <w:r w:rsidRPr="00691E5C">
        <w:rPr>
          <w:rFonts w:ascii="Sylfaen" w:hAnsi="Sylfaen"/>
          <w:lang w:val="ka-GE"/>
        </w:rPr>
        <w:t>2006 წლის 20 მარტის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შეთანხმებაში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ცვლილებების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შეტანის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თაობაზე</w:t>
      </w:r>
      <w:r w:rsidRPr="00691E5C">
        <w:rPr>
          <w:rFonts w:ascii="Sylfaen" w:hAnsi="Sylfaen"/>
        </w:rPr>
        <w:t xml:space="preserve">“ </w:t>
      </w:r>
      <w:r w:rsidRPr="00691E5C">
        <w:rPr>
          <w:rFonts w:ascii="Sylfaen" w:hAnsi="Sylfaen" w:cs="Sylfaen"/>
        </w:rPr>
        <w:t>შეთანხმების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შესაბამისად</w:t>
      </w:r>
      <w:r w:rsidRPr="00691E5C">
        <w:rPr>
          <w:rFonts w:ascii="Sylfaen" w:hAnsi="Sylfaen"/>
        </w:rPr>
        <w:t xml:space="preserve">. </w:t>
      </w:r>
    </w:p>
    <w:p w:rsidR="00616855" w:rsidRPr="00691E5C" w:rsidRDefault="00616855" w:rsidP="00616855">
      <w:pPr>
        <w:spacing w:after="0"/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 202</w:t>
      </w:r>
      <w:r w:rsidRPr="00691E5C">
        <w:rPr>
          <w:rFonts w:ascii="Sylfaen" w:hAnsi="Sylfaen" w:cs="Sylfaen"/>
          <w:szCs w:val="21"/>
          <w:shd w:val="clear" w:color="auto" w:fill="FFFFFF"/>
        </w:rPr>
        <w:t>1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ცვლილების პროექტით გათვალისწინებულია</w:t>
      </w:r>
      <w:r w:rsidRPr="00691E5C">
        <w:rPr>
          <w:rFonts w:ascii="Sylfaen" w:hAnsi="Sylfaen" w:cs="Sylfaen"/>
          <w:szCs w:val="21"/>
          <w:shd w:val="clear" w:color="auto" w:fill="FFFFFF"/>
        </w:rPr>
        <w:t xml:space="preserve"> 510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91E5C">
        <w:rPr>
          <w:rFonts w:ascii="Sylfaen" w:hAnsi="Sylfaen" w:cs="Sylfaen"/>
          <w:szCs w:val="21"/>
          <w:shd w:val="clear" w:color="auto" w:fill="FFFFFF"/>
        </w:rPr>
        <w:t>000.0</w:t>
      </w:r>
      <w:r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ლარი.</w:t>
      </w:r>
    </w:p>
    <w:p w:rsidR="00B404A9" w:rsidRPr="00691E5C" w:rsidRDefault="00B404A9" w:rsidP="00616855">
      <w:pPr>
        <w:spacing w:after="0"/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691E5C">
        <w:rPr>
          <w:rFonts w:ascii="Sylfaen" w:hAnsi="Sylfaen"/>
          <w:lang w:val="ka-GE"/>
        </w:rPr>
        <w:t>202</w:t>
      </w:r>
      <w:r w:rsidR="003B0642" w:rsidRPr="00691E5C">
        <w:rPr>
          <w:rFonts w:ascii="Sylfaen" w:hAnsi="Sylfaen"/>
        </w:rPr>
        <w:t>1</w:t>
      </w:r>
      <w:r w:rsidRPr="00691E5C">
        <w:rPr>
          <w:rFonts w:ascii="Sylfaen" w:hAnsi="Sylfaen"/>
          <w:lang w:val="ka-GE"/>
        </w:rPr>
        <w:t xml:space="preserve"> </w:t>
      </w:r>
      <w:r w:rsidRPr="00691E5C">
        <w:rPr>
          <w:rFonts w:ascii="Sylfaen" w:hAnsi="Sylfaen" w:cs="Sylfaen"/>
        </w:rPr>
        <w:t>წლის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სახელმწიფო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ბიუჯეტის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კანონის</w:t>
      </w:r>
      <w:r w:rsidRPr="00691E5C">
        <w:rPr>
          <w:rFonts w:ascii="Sylfaen" w:hAnsi="Sylfaen"/>
        </w:rPr>
        <w:t xml:space="preserve"> </w:t>
      </w:r>
      <w:r w:rsidR="00D82730" w:rsidRPr="00691E5C">
        <w:rPr>
          <w:rFonts w:ascii="Sylfaen" w:hAnsi="Sylfaen"/>
          <w:lang w:val="ka-GE"/>
        </w:rPr>
        <w:t xml:space="preserve">ცვლილების </w:t>
      </w:r>
      <w:r w:rsidRPr="00691E5C">
        <w:rPr>
          <w:rFonts w:ascii="Sylfaen" w:hAnsi="Sylfaen" w:cs="Sylfaen"/>
        </w:rPr>
        <w:t>პროექტით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განსაზღვრული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საგარეო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და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საშინაო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ვალის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პარამეტრები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უზრუნველყოფენ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სახელმწიფო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ვალის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მდგრადობის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შენარჩუნებას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საშუალოვადიან</w:t>
      </w:r>
      <w:r w:rsidRPr="00691E5C">
        <w:rPr>
          <w:rFonts w:ascii="Sylfaen" w:hAnsi="Sylfaen"/>
        </w:rPr>
        <w:t xml:space="preserve"> </w:t>
      </w:r>
      <w:r w:rsidRPr="00691E5C">
        <w:rPr>
          <w:rFonts w:ascii="Sylfaen" w:hAnsi="Sylfaen" w:cs="Sylfaen"/>
        </w:rPr>
        <w:t>პერიოდში</w:t>
      </w:r>
      <w:r w:rsidRPr="00691E5C">
        <w:rPr>
          <w:rFonts w:ascii="Sylfaen" w:hAnsi="Sylfaen" w:cs="Sylfaen"/>
          <w:lang w:val="ka-GE"/>
        </w:rPr>
        <w:t>.</w:t>
      </w:r>
    </w:p>
    <w:p w:rsidR="00396821" w:rsidRPr="00691E5C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E1A0F" w:rsidRPr="00691E5C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691E5C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3B0642" w:rsidRPr="00691E5C">
        <w:rPr>
          <w:rFonts w:ascii="Sylfaen" w:hAnsi="Sylfaen"/>
          <w:b/>
        </w:rPr>
        <w:t>1</w:t>
      </w:r>
      <w:r w:rsidRPr="00691E5C">
        <w:rPr>
          <w:rFonts w:ascii="Sylfaen" w:hAnsi="Sylfaen"/>
          <w:b/>
          <w:lang w:val="ka-GE"/>
        </w:rPr>
        <w:t xml:space="preserve"> წლის ბოლოსთვის</w:t>
      </w:r>
    </w:p>
    <w:p w:rsidR="006010BC" w:rsidRPr="00691E5C" w:rsidRDefault="006010BC" w:rsidP="006010BC">
      <w:pPr>
        <w:tabs>
          <w:tab w:val="left" w:pos="720"/>
        </w:tabs>
        <w:spacing w:after="0" w:line="240" w:lineRule="auto"/>
        <w:ind w:right="153"/>
        <w:jc w:val="right"/>
        <w:rPr>
          <w:rFonts w:ascii="Sylfaen" w:hAnsi="Sylfaen"/>
          <w:b/>
          <w:lang w:val="ka-GE"/>
        </w:rPr>
      </w:pPr>
      <w:r w:rsidRPr="00691E5C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7520"/>
        <w:gridCol w:w="1900"/>
      </w:tblGrid>
      <w:tr w:rsidR="00A500BC" w:rsidRPr="00691E5C" w:rsidTr="00691E5C">
        <w:trPr>
          <w:trHeight w:val="113"/>
          <w:tblHeader/>
          <w:jc w:val="center"/>
        </w:trPr>
        <w:tc>
          <w:tcPr>
            <w:tcW w:w="7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bookmarkStart w:id="1" w:name="RANGE!B2:C41"/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1"/>
          </w:p>
        </w:tc>
        <w:tc>
          <w:tcPr>
            <w:tcW w:w="1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20"/>
              </w:rPr>
              <w:t>საპროგნოზო  ნაშთი 31.12.2021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სულ მთავრობის საგარეო  ვალის ნაშთი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24,061,888.1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მრავალმხრივი კრედიტორებისაგან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17,333,934.5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მსოფლიო ბანკი  (WB)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6,395,804.0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116,390.0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 xml:space="preserve">საერთაშორისო სავალუტო ფონდი (IMF)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637,843.5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726,697.5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აზიის განვითარების ბანკი (ADB)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5,798,180.5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ევროპის საინვესტიციო ბანკი  (EIB)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2,545,882.8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ევროკავშირი (EU)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464,529.1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626,251.0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14,642.3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7,713.8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ორმხრივი კრედიტორებისაგან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5,167,083.8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50,568.8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13,032.3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657.0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25,376.4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9,506.0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ჩინეთი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1,462.2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89,080.1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11,496.2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14,176.1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2,134,692.9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582,032.5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38,785.1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300.6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ამერიკა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40,932.5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2,154,985.1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სხვა საგარეო ვალდებულებები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1,556,450.0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ევრობონდი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1,556,450.0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სახელმწიფო გარანტიით აღებული კრედიტები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4,419.8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4,419.8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მთავრობის საშინაო ვალის ნაშთი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5,843,296.6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160,846.0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152,000.0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279,073.9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5,213,376.7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 xml:space="preserve"> საბიუჯეტო ორგანიზაციების სესხის სახით არსებული ვალი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38,000.0</w:t>
            </w:r>
          </w:p>
        </w:tc>
      </w:tr>
      <w:tr w:rsidR="00A500BC" w:rsidRPr="00691E5C" w:rsidTr="00691E5C">
        <w:trPr>
          <w:trHeight w:val="113"/>
          <w:jc w:val="center"/>
        </w:trPr>
        <w:tc>
          <w:tcPr>
            <w:tcW w:w="7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სულ მთავრობის ვალის ნაშთი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500BC" w:rsidRPr="00691E5C" w:rsidRDefault="00A500BC" w:rsidP="00A500BC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691E5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29,905,184.7</w:t>
            </w:r>
          </w:p>
        </w:tc>
      </w:tr>
    </w:tbl>
    <w:p w:rsidR="00BB0398" w:rsidRPr="00691E5C" w:rsidRDefault="00BB0398" w:rsidP="00A500BC">
      <w:pPr>
        <w:tabs>
          <w:tab w:val="left" w:pos="720"/>
        </w:tabs>
        <w:spacing w:after="0" w:line="240" w:lineRule="auto"/>
        <w:rPr>
          <w:rFonts w:ascii="Sylfaen" w:hAnsi="Sylfaen"/>
          <w:b/>
          <w:i/>
          <w:sz w:val="18"/>
          <w:szCs w:val="18"/>
          <w:lang w:val="ka-GE"/>
        </w:rPr>
      </w:pPr>
      <w:r w:rsidRPr="00691E5C">
        <w:rPr>
          <w:rFonts w:ascii="Sylfaen" w:hAnsi="Sylfaen"/>
          <w:b/>
          <w:i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</w:t>
      </w:r>
    </w:p>
    <w:p w:rsidR="00FC7690" w:rsidRPr="00691E5C" w:rsidRDefault="00FC7690" w:rsidP="00694635">
      <w:pPr>
        <w:spacing w:after="0" w:line="240" w:lineRule="auto"/>
        <w:ind w:firstLine="426"/>
        <w:rPr>
          <w:rFonts w:ascii="Sylfaen" w:hAnsi="Sylfaen"/>
          <w:sz w:val="16"/>
          <w:szCs w:val="16"/>
          <w:lang w:val="ka-GE"/>
        </w:rPr>
      </w:pPr>
      <w:r w:rsidRPr="00691E5C">
        <w:rPr>
          <w:rFonts w:ascii="Sylfaen" w:hAnsi="Sylfaen"/>
          <w:sz w:val="16"/>
          <w:szCs w:val="16"/>
          <w:lang w:val="ka-GE"/>
        </w:rPr>
        <w:t xml:space="preserve">შენიშვნა: </w:t>
      </w:r>
      <w:r w:rsidR="00A500BC" w:rsidRPr="00691E5C">
        <w:rPr>
          <w:rFonts w:ascii="Sylfaen" w:hAnsi="Sylfaen"/>
          <w:sz w:val="16"/>
          <w:szCs w:val="16"/>
          <w:lang w:val="ka-GE"/>
        </w:rPr>
        <w:t>გამოთვლისას გამოყენებულია 2021 წლის 26 ნოემბრის გაცვლითი კურსი  1 EUR = 3.4927 GEL; 1 SDR = 4.3391 GEL; 10 CNY = 4.874 GEL; 100 JPY = 2.6984 GEL; 1 KWD = 10.2736 GEL; 1 USD = 3.1129 GEL.</w:t>
      </w:r>
    </w:p>
    <w:p w:rsidR="0053506B" w:rsidRPr="00691E5C" w:rsidRDefault="00694635" w:rsidP="00694635">
      <w:pPr>
        <w:spacing w:after="0" w:line="240" w:lineRule="auto"/>
        <w:ind w:firstLine="426"/>
        <w:rPr>
          <w:rFonts w:ascii="Sylfaen" w:hAnsi="Sylfaen"/>
          <w:sz w:val="16"/>
          <w:szCs w:val="16"/>
          <w:lang w:val="ka-GE"/>
        </w:rPr>
      </w:pPr>
      <w:r w:rsidRPr="00691E5C">
        <w:rPr>
          <w:rFonts w:ascii="Sylfaen" w:hAnsi="Sylfaen"/>
          <w:b/>
          <w:i/>
          <w:noProof/>
          <w:color w:val="000000"/>
          <w:sz w:val="16"/>
          <w:szCs w:val="16"/>
          <w:lang w:val="ka-GE"/>
        </w:rPr>
        <w:br w:type="textWrapping" w:clear="all"/>
      </w:r>
    </w:p>
    <w:sectPr w:rsidR="0053506B" w:rsidRPr="00691E5C" w:rsidSect="0021748E">
      <w:footerReference w:type="first" r:id="rId11"/>
      <w:pgSz w:w="11907" w:h="16839" w:code="9"/>
      <w:pgMar w:top="426" w:right="1134" w:bottom="709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F0" w:rsidRDefault="00354DF0" w:rsidP="00400BED">
      <w:pPr>
        <w:spacing w:after="0" w:line="240" w:lineRule="auto"/>
      </w:pPr>
      <w:r>
        <w:separator/>
      </w:r>
    </w:p>
  </w:endnote>
  <w:endnote w:type="continuationSeparator" w:id="0">
    <w:p w:rsidR="00354DF0" w:rsidRDefault="00354DF0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97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48E" w:rsidRDefault="002174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48E" w:rsidRDefault="00217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F0" w:rsidRDefault="00354DF0" w:rsidP="00400BED">
      <w:pPr>
        <w:spacing w:after="0" w:line="240" w:lineRule="auto"/>
      </w:pPr>
      <w:r>
        <w:separator/>
      </w:r>
    </w:p>
  </w:footnote>
  <w:footnote w:type="continuationSeparator" w:id="0">
    <w:p w:rsidR="00354DF0" w:rsidRDefault="00354DF0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2625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62B"/>
    <w:rsid w:val="00054AB0"/>
    <w:rsid w:val="00057593"/>
    <w:rsid w:val="00061691"/>
    <w:rsid w:val="000625B2"/>
    <w:rsid w:val="00063126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470C8"/>
    <w:rsid w:val="00151C5B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1748E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24"/>
    <w:rsid w:val="0029176A"/>
    <w:rsid w:val="00293858"/>
    <w:rsid w:val="0029394E"/>
    <w:rsid w:val="00294224"/>
    <w:rsid w:val="002A0BB1"/>
    <w:rsid w:val="002A2174"/>
    <w:rsid w:val="002A37ED"/>
    <w:rsid w:val="002A3C73"/>
    <w:rsid w:val="002A4263"/>
    <w:rsid w:val="002B1561"/>
    <w:rsid w:val="002B1FB3"/>
    <w:rsid w:val="002B3AB0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15C8"/>
    <w:rsid w:val="002D16E4"/>
    <w:rsid w:val="002D22B9"/>
    <w:rsid w:val="002D44AA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483D"/>
    <w:rsid w:val="00325994"/>
    <w:rsid w:val="0032795B"/>
    <w:rsid w:val="003303AF"/>
    <w:rsid w:val="0033211A"/>
    <w:rsid w:val="00332B60"/>
    <w:rsid w:val="003351F0"/>
    <w:rsid w:val="003419E6"/>
    <w:rsid w:val="003425D6"/>
    <w:rsid w:val="003430DD"/>
    <w:rsid w:val="0034341F"/>
    <w:rsid w:val="00347FB5"/>
    <w:rsid w:val="00352E0D"/>
    <w:rsid w:val="003532BD"/>
    <w:rsid w:val="00354DF0"/>
    <w:rsid w:val="0035676A"/>
    <w:rsid w:val="00361883"/>
    <w:rsid w:val="00364196"/>
    <w:rsid w:val="0036419C"/>
    <w:rsid w:val="00372A1B"/>
    <w:rsid w:val="003758EA"/>
    <w:rsid w:val="00375F6E"/>
    <w:rsid w:val="00377B9F"/>
    <w:rsid w:val="00382167"/>
    <w:rsid w:val="003838EC"/>
    <w:rsid w:val="00385753"/>
    <w:rsid w:val="00387352"/>
    <w:rsid w:val="0039166F"/>
    <w:rsid w:val="003948EE"/>
    <w:rsid w:val="00395CE1"/>
    <w:rsid w:val="003967C1"/>
    <w:rsid w:val="00396821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572FA"/>
    <w:rsid w:val="004611B5"/>
    <w:rsid w:val="00462A0C"/>
    <w:rsid w:val="00466050"/>
    <w:rsid w:val="00466B57"/>
    <w:rsid w:val="00470E61"/>
    <w:rsid w:val="00471D7F"/>
    <w:rsid w:val="00473D38"/>
    <w:rsid w:val="00480DC3"/>
    <w:rsid w:val="004816BC"/>
    <w:rsid w:val="004835AB"/>
    <w:rsid w:val="00483895"/>
    <w:rsid w:val="00484C3A"/>
    <w:rsid w:val="004850D5"/>
    <w:rsid w:val="00485FD9"/>
    <w:rsid w:val="00490B44"/>
    <w:rsid w:val="00493136"/>
    <w:rsid w:val="00496409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23D5"/>
    <w:rsid w:val="004C3750"/>
    <w:rsid w:val="004C59A6"/>
    <w:rsid w:val="004D17A6"/>
    <w:rsid w:val="004D26F9"/>
    <w:rsid w:val="004D317B"/>
    <w:rsid w:val="004D7B47"/>
    <w:rsid w:val="004E2497"/>
    <w:rsid w:val="004E3AB1"/>
    <w:rsid w:val="004E422E"/>
    <w:rsid w:val="004F1431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11E4"/>
    <w:rsid w:val="005233E0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A55"/>
    <w:rsid w:val="00570C98"/>
    <w:rsid w:val="00572781"/>
    <w:rsid w:val="005739B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10BC"/>
    <w:rsid w:val="00603BE0"/>
    <w:rsid w:val="006042C4"/>
    <w:rsid w:val="0061180A"/>
    <w:rsid w:val="00615CCA"/>
    <w:rsid w:val="00616855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57A6F"/>
    <w:rsid w:val="00661B66"/>
    <w:rsid w:val="00663921"/>
    <w:rsid w:val="006663B1"/>
    <w:rsid w:val="00667DDB"/>
    <w:rsid w:val="006719E4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1E5C"/>
    <w:rsid w:val="00692B62"/>
    <w:rsid w:val="00693321"/>
    <w:rsid w:val="00693542"/>
    <w:rsid w:val="00694635"/>
    <w:rsid w:val="00694AB3"/>
    <w:rsid w:val="00694EFF"/>
    <w:rsid w:val="0069693A"/>
    <w:rsid w:val="00696AF7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571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1358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56ED"/>
    <w:rsid w:val="007C7CC8"/>
    <w:rsid w:val="007D1B10"/>
    <w:rsid w:val="007D2DE1"/>
    <w:rsid w:val="007D4E77"/>
    <w:rsid w:val="007D725C"/>
    <w:rsid w:val="007D7881"/>
    <w:rsid w:val="007E11A5"/>
    <w:rsid w:val="007E57A9"/>
    <w:rsid w:val="007E711B"/>
    <w:rsid w:val="007E716B"/>
    <w:rsid w:val="007E7910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7C42"/>
    <w:rsid w:val="0082056D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661E"/>
    <w:rsid w:val="00880F7C"/>
    <w:rsid w:val="00881898"/>
    <w:rsid w:val="00883FDF"/>
    <w:rsid w:val="0088487C"/>
    <w:rsid w:val="00885C87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41504"/>
    <w:rsid w:val="009453D8"/>
    <w:rsid w:val="00945C13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5FAB"/>
    <w:rsid w:val="009A7187"/>
    <w:rsid w:val="009A78B3"/>
    <w:rsid w:val="009A7CFF"/>
    <w:rsid w:val="009B1B48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383C"/>
    <w:rsid w:val="009D5407"/>
    <w:rsid w:val="009D575E"/>
    <w:rsid w:val="009D66CB"/>
    <w:rsid w:val="009D6EA9"/>
    <w:rsid w:val="009D72B5"/>
    <w:rsid w:val="009D72DB"/>
    <w:rsid w:val="009E10CF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50002"/>
    <w:rsid w:val="00A500BC"/>
    <w:rsid w:val="00A5293F"/>
    <w:rsid w:val="00A552F9"/>
    <w:rsid w:val="00A56E3B"/>
    <w:rsid w:val="00A57273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306F"/>
    <w:rsid w:val="00A84E8C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99E"/>
    <w:rsid w:val="00AB0A72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3A56"/>
    <w:rsid w:val="00B94CDE"/>
    <w:rsid w:val="00B95192"/>
    <w:rsid w:val="00B95528"/>
    <w:rsid w:val="00BA297C"/>
    <w:rsid w:val="00BA4426"/>
    <w:rsid w:val="00BA6094"/>
    <w:rsid w:val="00BB0398"/>
    <w:rsid w:val="00BB2C5D"/>
    <w:rsid w:val="00BB4019"/>
    <w:rsid w:val="00BC132A"/>
    <w:rsid w:val="00BC168E"/>
    <w:rsid w:val="00BC4A20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6E3"/>
    <w:rsid w:val="00C15531"/>
    <w:rsid w:val="00C159A8"/>
    <w:rsid w:val="00C17F88"/>
    <w:rsid w:val="00C2136E"/>
    <w:rsid w:val="00C21AE9"/>
    <w:rsid w:val="00C23646"/>
    <w:rsid w:val="00C240B6"/>
    <w:rsid w:val="00C24A78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2BA0"/>
    <w:rsid w:val="00C574C4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1918"/>
    <w:rsid w:val="00C92D73"/>
    <w:rsid w:val="00C9602D"/>
    <w:rsid w:val="00C9708E"/>
    <w:rsid w:val="00C97893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B15D9"/>
    <w:rsid w:val="00DB1C54"/>
    <w:rsid w:val="00DB276F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65DE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C7AD0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F003A7"/>
    <w:rsid w:val="00F01A27"/>
    <w:rsid w:val="00F07891"/>
    <w:rsid w:val="00F106FA"/>
    <w:rsid w:val="00F1522E"/>
    <w:rsid w:val="00F163EB"/>
    <w:rsid w:val="00F1789E"/>
    <w:rsid w:val="00F213DA"/>
    <w:rsid w:val="00F225C9"/>
    <w:rsid w:val="00F252D0"/>
    <w:rsid w:val="00F26066"/>
    <w:rsid w:val="00F27538"/>
    <w:rsid w:val="00F312ED"/>
    <w:rsid w:val="00F331FF"/>
    <w:rsid w:val="00F34EAC"/>
    <w:rsid w:val="00F350BA"/>
    <w:rsid w:val="00F35BA9"/>
    <w:rsid w:val="00F37717"/>
    <w:rsid w:val="00F446F1"/>
    <w:rsid w:val="00F4520E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488"/>
    <w:rsid w:val="00FA74FF"/>
    <w:rsid w:val="00FB01F8"/>
    <w:rsid w:val="00FB07AB"/>
    <w:rsid w:val="00FB7087"/>
    <w:rsid w:val="00FB723F"/>
    <w:rsid w:val="00FC40F7"/>
    <w:rsid w:val="00FC7690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33">
    <w:name w:val="xl35633"/>
    <w:basedOn w:val="Normal"/>
    <w:rsid w:val="002A37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89">
    <w:name w:val="xl35789"/>
    <w:basedOn w:val="Normal"/>
    <w:rsid w:val="002A37E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2A37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2A37E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2A37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2A3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2A37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2A37E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2A37E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7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7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37ED"/>
    <w:rPr>
      <w:vertAlign w:val="superscript"/>
    </w:rPr>
  </w:style>
  <w:style w:type="paragraph" w:customStyle="1" w:styleId="xl35631">
    <w:name w:val="xl35631"/>
    <w:basedOn w:val="Normal"/>
    <w:rsid w:val="002A37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2A37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2">
    <w:name w:val="Normal_32"/>
    <w:qFormat/>
    <w:rsid w:val="0039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974489905383094"/>
                  <c:y val="-2.4269375654468062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6848319709356"/>
                      <c:h val="0.160967184801381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50%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layout>
                <c:manualLayout>
                  <c:x val="-2.4613814691727458E-2"/>
                  <c:y val="1.019138138362554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6675-85C7-4E40-97D4-4DDBC519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3</cp:revision>
  <cp:lastPrinted>2021-11-29T17:05:00Z</cp:lastPrinted>
  <dcterms:created xsi:type="dcterms:W3CDTF">2021-11-29T16:30:00Z</dcterms:created>
  <dcterms:modified xsi:type="dcterms:W3CDTF">2021-11-29T17:05:00Z</dcterms:modified>
</cp:coreProperties>
</file>